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5"/>
        <w:gridCol w:w="3690"/>
      </w:tblGrid>
      <w:tr w:rsidR="00C334E3" w:rsidRPr="00A36643" w14:paraId="1FCFA403" w14:textId="77777777" w:rsidTr="00C334E3">
        <w:trPr>
          <w:trHeight w:val="323"/>
        </w:trPr>
        <w:tc>
          <w:tcPr>
            <w:tcW w:w="6305" w:type="dxa"/>
          </w:tcPr>
          <w:p w14:paraId="440C8F60" w14:textId="77777777" w:rsidR="00C334E3" w:rsidRDefault="00C334E3" w:rsidP="00C334E3">
            <w:pPr>
              <w:spacing w:after="0"/>
              <w:rPr>
                <w:rFonts w:ascii="Times New Roman" w:eastAsia="Times New Roman" w:hAnsi="Times New Roman"/>
                <w:b/>
                <w:bCs/>
                <w:sz w:val="20"/>
                <w:szCs w:val="20"/>
                <w:lang w:val="vi-VN" w:eastAsia="en-GB"/>
              </w:rPr>
            </w:pPr>
            <w:r w:rsidRPr="00A36643">
              <w:rPr>
                <w:rFonts w:ascii="Times New Roman" w:eastAsia="Times New Roman" w:hAnsi="Times New Roman"/>
                <w:b/>
                <w:bCs/>
                <w:sz w:val="20"/>
                <w:szCs w:val="20"/>
                <w:lang w:val="vi-VN" w:eastAsia="en-GB"/>
              </w:rPr>
              <w:t>Công Ty Cổ Phần Quản Lý Quỹ VinaCapital</w:t>
            </w:r>
          </w:p>
          <w:p w14:paraId="08D8670B" w14:textId="77B405A7" w:rsidR="00253D8D" w:rsidRPr="00253D8D" w:rsidRDefault="00253D8D" w:rsidP="00C334E3">
            <w:pPr>
              <w:spacing w:after="0"/>
              <w:rPr>
                <w:rFonts w:ascii="Times New Roman" w:eastAsia="Times New Roman" w:hAnsi="Times New Roman"/>
                <w:b/>
                <w:bCs/>
                <w:i/>
                <w:iCs/>
                <w:sz w:val="20"/>
                <w:szCs w:val="20"/>
                <w:lang w:eastAsia="en-GB"/>
              </w:rPr>
            </w:pPr>
            <w:r>
              <w:rPr>
                <w:rFonts w:ascii="Times New Roman" w:eastAsia="Times New Roman" w:hAnsi="Times New Roman"/>
                <w:b/>
                <w:bCs/>
                <w:i/>
                <w:iCs/>
                <w:sz w:val="20"/>
                <w:szCs w:val="20"/>
                <w:lang w:eastAsia="en-GB"/>
              </w:rPr>
              <w:t>VinaCapital Fund Management Joint Stock Company</w:t>
            </w:r>
          </w:p>
        </w:tc>
        <w:tc>
          <w:tcPr>
            <w:tcW w:w="3690" w:type="dxa"/>
          </w:tcPr>
          <w:p w14:paraId="3C55B2E6" w14:textId="77777777" w:rsidR="00C334E3" w:rsidRDefault="00C334E3" w:rsidP="00C334E3">
            <w:pPr>
              <w:spacing w:after="0"/>
              <w:jc w:val="right"/>
              <w:rPr>
                <w:rFonts w:ascii="Times New Roman" w:eastAsia="Times New Roman" w:hAnsi="Times New Roman"/>
                <w:b/>
                <w:bCs/>
                <w:i/>
                <w:sz w:val="20"/>
                <w:szCs w:val="20"/>
                <w:lang w:eastAsia="en-GB"/>
              </w:rPr>
            </w:pPr>
            <w:r w:rsidRPr="00A36643">
              <w:rPr>
                <w:rFonts w:ascii="Times New Roman" w:eastAsia="Times New Roman" w:hAnsi="Times New Roman"/>
                <w:b/>
                <w:bCs/>
                <w:i/>
                <w:sz w:val="20"/>
                <w:szCs w:val="20"/>
                <w:lang w:eastAsia="en-GB"/>
              </w:rPr>
              <w:t>Mẫu số B06g-QM</w:t>
            </w:r>
          </w:p>
          <w:p w14:paraId="70F5C691" w14:textId="5C06512B" w:rsidR="00253D8D" w:rsidRPr="00A36643" w:rsidRDefault="00253D8D" w:rsidP="00C334E3">
            <w:pPr>
              <w:spacing w:after="0"/>
              <w:jc w:val="right"/>
              <w:rPr>
                <w:rFonts w:ascii="Times New Roman" w:eastAsia="Times New Roman" w:hAnsi="Times New Roman"/>
                <w:b/>
                <w:bCs/>
                <w:i/>
                <w:sz w:val="20"/>
                <w:szCs w:val="20"/>
                <w:lang w:eastAsia="en-GB"/>
              </w:rPr>
            </w:pPr>
            <w:r>
              <w:rPr>
                <w:rFonts w:ascii="Times New Roman" w:eastAsia="Times New Roman" w:hAnsi="Times New Roman"/>
                <w:b/>
                <w:bCs/>
                <w:i/>
                <w:sz w:val="20"/>
                <w:szCs w:val="20"/>
                <w:lang w:eastAsia="en-GB"/>
              </w:rPr>
              <w:t>Form B06g-QM</w:t>
            </w:r>
          </w:p>
        </w:tc>
      </w:tr>
      <w:tr w:rsidR="00C334E3" w:rsidRPr="00A36643" w14:paraId="2237668E" w14:textId="77777777" w:rsidTr="00C334E3">
        <w:tc>
          <w:tcPr>
            <w:tcW w:w="6305" w:type="dxa"/>
          </w:tcPr>
          <w:p w14:paraId="4538CE49" w14:textId="611619B2" w:rsidR="00C334E3" w:rsidRDefault="00C334E3" w:rsidP="00C334E3">
            <w:pPr>
              <w:spacing w:after="0"/>
              <w:jc w:val="both"/>
              <w:rPr>
                <w:rFonts w:ascii="Times New Roman" w:eastAsia="Times New Roman" w:hAnsi="Times New Roman"/>
                <w:b/>
                <w:bCs/>
                <w:sz w:val="20"/>
                <w:szCs w:val="20"/>
                <w:lang w:eastAsia="en-GB"/>
              </w:rPr>
            </w:pPr>
            <w:r w:rsidRPr="00A36643">
              <w:rPr>
                <w:rFonts w:ascii="Times New Roman" w:eastAsia="Times New Roman" w:hAnsi="Times New Roman"/>
                <w:b/>
                <w:bCs/>
                <w:sz w:val="20"/>
                <w:szCs w:val="20"/>
                <w:lang w:eastAsia="en-GB"/>
              </w:rPr>
              <w:t xml:space="preserve">Quỹ </w:t>
            </w:r>
            <w:r w:rsidR="002D4F6A">
              <w:rPr>
                <w:rFonts w:ascii="Times New Roman" w:eastAsia="Times New Roman" w:hAnsi="Times New Roman"/>
                <w:b/>
                <w:bCs/>
                <w:sz w:val="20"/>
                <w:szCs w:val="20"/>
                <w:lang w:eastAsia="en-GB"/>
              </w:rPr>
              <w:t>Đ</w:t>
            </w:r>
            <w:r w:rsidRPr="00A36643">
              <w:rPr>
                <w:rFonts w:ascii="Times New Roman" w:eastAsia="Times New Roman" w:hAnsi="Times New Roman"/>
                <w:b/>
                <w:bCs/>
                <w:sz w:val="20"/>
                <w:szCs w:val="20"/>
                <w:lang w:eastAsia="en-GB"/>
              </w:rPr>
              <w:t xml:space="preserve">ầu tư </w:t>
            </w:r>
            <w:r w:rsidR="002D4F6A">
              <w:rPr>
                <w:rFonts w:ascii="Times New Roman" w:eastAsia="Times New Roman" w:hAnsi="Times New Roman"/>
                <w:b/>
                <w:bCs/>
                <w:sz w:val="20"/>
                <w:szCs w:val="20"/>
                <w:lang w:eastAsia="en-GB"/>
              </w:rPr>
              <w:t>C</w:t>
            </w:r>
            <w:r w:rsidRPr="00A36643">
              <w:rPr>
                <w:rFonts w:ascii="Times New Roman" w:eastAsia="Times New Roman" w:hAnsi="Times New Roman"/>
                <w:b/>
                <w:bCs/>
                <w:sz w:val="20"/>
                <w:szCs w:val="20"/>
                <w:lang w:eastAsia="en-GB"/>
              </w:rPr>
              <w:t>ổ phiếu Hưng Thịnh VinaCapital (VINACAPITAL-VEOF)</w:t>
            </w:r>
          </w:p>
          <w:p w14:paraId="29D9E376" w14:textId="4CDFB203" w:rsidR="00253D8D" w:rsidRPr="00253D8D" w:rsidRDefault="00253D8D" w:rsidP="00C334E3">
            <w:pPr>
              <w:spacing w:after="0"/>
              <w:jc w:val="both"/>
              <w:rPr>
                <w:rFonts w:ascii="Times New Roman" w:eastAsia="Times New Roman" w:hAnsi="Times New Roman"/>
                <w:b/>
                <w:bCs/>
                <w:i/>
                <w:iCs/>
                <w:sz w:val="20"/>
                <w:szCs w:val="20"/>
                <w:lang w:eastAsia="en-GB"/>
              </w:rPr>
            </w:pPr>
            <w:r>
              <w:rPr>
                <w:rFonts w:ascii="Times New Roman" w:eastAsia="Times New Roman" w:hAnsi="Times New Roman"/>
                <w:b/>
                <w:bCs/>
                <w:i/>
                <w:iCs/>
                <w:sz w:val="20"/>
                <w:szCs w:val="20"/>
                <w:lang w:eastAsia="en-GB"/>
              </w:rPr>
              <w:t>VinaCapital Equity Opportunity Fund (VINACAPITAL-VEOF)</w:t>
            </w:r>
          </w:p>
          <w:p w14:paraId="04921F63" w14:textId="78008A8D" w:rsidR="00C334E3" w:rsidRPr="00A36643" w:rsidRDefault="00C334E3" w:rsidP="00C334E3">
            <w:pPr>
              <w:spacing w:after="0"/>
              <w:jc w:val="both"/>
              <w:rPr>
                <w:rFonts w:ascii="Times New Roman" w:eastAsia="Times New Roman" w:hAnsi="Times New Roman"/>
                <w:b/>
                <w:bCs/>
                <w:sz w:val="20"/>
                <w:szCs w:val="20"/>
                <w:lang w:eastAsia="en-GB"/>
              </w:rPr>
            </w:pPr>
          </w:p>
        </w:tc>
        <w:tc>
          <w:tcPr>
            <w:tcW w:w="3690" w:type="dxa"/>
          </w:tcPr>
          <w:p w14:paraId="39A46B43" w14:textId="77777777" w:rsidR="00C334E3" w:rsidRDefault="00C334E3" w:rsidP="00C334E3">
            <w:pPr>
              <w:spacing w:after="0"/>
              <w:jc w:val="right"/>
              <w:rPr>
                <w:rFonts w:ascii="Times New Roman" w:eastAsia="Times New Roman" w:hAnsi="Times New Roman"/>
                <w:bCs/>
                <w:i/>
                <w:sz w:val="20"/>
                <w:szCs w:val="20"/>
                <w:lang w:eastAsia="en-GB"/>
              </w:rPr>
            </w:pPr>
            <w:r w:rsidRPr="00A36643">
              <w:rPr>
                <w:rFonts w:ascii="Times New Roman" w:eastAsia="Times New Roman" w:hAnsi="Times New Roman"/>
                <w:bCs/>
                <w:i/>
                <w:sz w:val="20"/>
                <w:szCs w:val="20"/>
                <w:lang w:eastAsia="en-GB"/>
              </w:rPr>
              <w:t>(Ban hành theo TT số 198/2012/TT-BTC ngày 15/11/2012 của Bộ Tài Chính)</w:t>
            </w:r>
          </w:p>
          <w:p w14:paraId="74CAC6BE" w14:textId="5945EC54" w:rsidR="00253D8D" w:rsidRPr="00A36643" w:rsidRDefault="00253D8D" w:rsidP="00C334E3">
            <w:pPr>
              <w:spacing w:after="0"/>
              <w:jc w:val="right"/>
              <w:rPr>
                <w:rFonts w:ascii="Times New Roman" w:eastAsia="Times New Roman" w:hAnsi="Times New Roman"/>
                <w:bCs/>
                <w:i/>
                <w:sz w:val="20"/>
                <w:szCs w:val="20"/>
                <w:lang w:eastAsia="en-GB"/>
              </w:rPr>
            </w:pPr>
            <w:r>
              <w:rPr>
                <w:rFonts w:ascii="Times New Roman" w:eastAsia="Times New Roman" w:hAnsi="Times New Roman"/>
                <w:bCs/>
                <w:i/>
                <w:sz w:val="20"/>
                <w:szCs w:val="20"/>
                <w:lang w:eastAsia="en-GB"/>
              </w:rPr>
              <w:t xml:space="preserve">(According to Circular 198/2012/TT-BTC dated 15/11/2012 of Ministry of Finance) </w:t>
            </w:r>
          </w:p>
        </w:tc>
      </w:tr>
    </w:tbl>
    <w:p w14:paraId="77656981" w14:textId="77777777" w:rsidR="009978C2" w:rsidRPr="00A36643" w:rsidRDefault="009978C2" w:rsidP="00970CC8">
      <w:pPr>
        <w:spacing w:after="0"/>
        <w:jc w:val="center"/>
        <w:rPr>
          <w:rFonts w:ascii="Times New Roman" w:eastAsia="Times New Roman" w:hAnsi="Times New Roman"/>
          <w:b/>
          <w:bCs/>
          <w:lang w:val="vi-VN"/>
        </w:rPr>
      </w:pPr>
    </w:p>
    <w:p w14:paraId="218ED5E1" w14:textId="2F427C3D" w:rsidR="0021456D" w:rsidRDefault="0021456D" w:rsidP="00970CC8">
      <w:pPr>
        <w:spacing w:after="0"/>
        <w:ind w:left="2880"/>
        <w:rPr>
          <w:rFonts w:ascii="Times New Roman" w:eastAsia="Times New Roman" w:hAnsi="Times New Roman"/>
          <w:b/>
          <w:bCs/>
          <w:i/>
          <w:iCs/>
          <w:lang w:val="vi-VN"/>
        </w:rPr>
      </w:pPr>
      <w:r w:rsidRPr="00487864">
        <w:rPr>
          <w:rFonts w:ascii="Times New Roman" w:eastAsia="Times New Roman" w:hAnsi="Times New Roman"/>
          <w:b/>
          <w:bCs/>
          <w:lang w:val="vi-VN"/>
        </w:rPr>
        <w:t xml:space="preserve">THUYẾT MINH </w:t>
      </w:r>
      <w:r w:rsidR="002D4792" w:rsidRPr="00487864">
        <w:rPr>
          <w:rFonts w:ascii="Times New Roman" w:eastAsia="Times New Roman" w:hAnsi="Times New Roman"/>
          <w:b/>
          <w:bCs/>
          <w:lang w:val="vi-VN"/>
        </w:rPr>
        <w:t xml:space="preserve">BÁO CÁO </w:t>
      </w:r>
      <w:r w:rsidRPr="00487864">
        <w:rPr>
          <w:rFonts w:ascii="Times New Roman" w:eastAsia="Times New Roman" w:hAnsi="Times New Roman"/>
          <w:b/>
          <w:bCs/>
          <w:lang w:val="vi-VN"/>
        </w:rPr>
        <w:t>TÀI CHÍNH</w:t>
      </w:r>
    </w:p>
    <w:p w14:paraId="24A4F10D" w14:textId="46735EA1" w:rsidR="00842D79" w:rsidRPr="00842D79" w:rsidRDefault="00842D79" w:rsidP="00970CC8">
      <w:pPr>
        <w:spacing w:after="0"/>
        <w:ind w:left="2880"/>
        <w:rPr>
          <w:rFonts w:ascii="Times New Roman" w:eastAsia="Times New Roman" w:hAnsi="Times New Roman"/>
          <w:b/>
          <w:bCs/>
          <w:i/>
          <w:iCs/>
          <w:lang w:val="en-GB"/>
        </w:rPr>
      </w:pPr>
      <w:r w:rsidRPr="00842D79">
        <w:rPr>
          <w:rFonts w:ascii="Times New Roman" w:eastAsia="Times New Roman" w:hAnsi="Times New Roman"/>
          <w:b/>
          <w:bCs/>
          <w:i/>
          <w:iCs/>
          <w:lang w:val="en-GB"/>
        </w:rPr>
        <w:t xml:space="preserve">NOTES TO </w:t>
      </w:r>
      <w:r>
        <w:rPr>
          <w:rFonts w:ascii="Times New Roman" w:eastAsia="Times New Roman" w:hAnsi="Times New Roman"/>
          <w:b/>
          <w:bCs/>
          <w:i/>
          <w:iCs/>
          <w:lang w:val="en-GB"/>
        </w:rPr>
        <w:t xml:space="preserve">THE </w:t>
      </w:r>
      <w:r w:rsidRPr="00842D79">
        <w:rPr>
          <w:rFonts w:ascii="Times New Roman" w:eastAsia="Times New Roman" w:hAnsi="Times New Roman"/>
          <w:b/>
          <w:bCs/>
          <w:i/>
          <w:iCs/>
          <w:lang w:val="en-GB"/>
        </w:rPr>
        <w:t>FINANCIAL ST</w:t>
      </w:r>
      <w:r>
        <w:rPr>
          <w:rFonts w:ascii="Times New Roman" w:eastAsia="Times New Roman" w:hAnsi="Times New Roman"/>
          <w:b/>
          <w:bCs/>
          <w:i/>
          <w:iCs/>
          <w:lang w:val="en-GB"/>
        </w:rPr>
        <w:t>ATEMENTS</w:t>
      </w:r>
    </w:p>
    <w:p w14:paraId="7FAFD5F3" w14:textId="23A4D5D5" w:rsidR="00BA60CA" w:rsidRDefault="005870ED" w:rsidP="00970CC8">
      <w:pPr>
        <w:spacing w:after="0"/>
        <w:jc w:val="center"/>
        <w:rPr>
          <w:rFonts w:ascii="Times New Roman" w:eastAsia="Times New Roman" w:hAnsi="Times New Roman"/>
          <w:b/>
          <w:bCs/>
          <w:lang w:val="en-GB"/>
        </w:rPr>
      </w:pPr>
      <w:r>
        <w:rPr>
          <w:rFonts w:ascii="Times New Roman" w:eastAsia="Times New Roman" w:hAnsi="Times New Roman"/>
          <w:b/>
          <w:bCs/>
          <w:lang w:val="en-GB"/>
        </w:rPr>
        <w:t xml:space="preserve">Quý </w:t>
      </w:r>
      <w:r w:rsidR="0044153F">
        <w:rPr>
          <w:rFonts w:ascii="Times New Roman" w:eastAsia="Times New Roman" w:hAnsi="Times New Roman"/>
          <w:b/>
          <w:bCs/>
          <w:lang w:val="en-GB"/>
        </w:rPr>
        <w:t>IV</w:t>
      </w:r>
      <w:r>
        <w:rPr>
          <w:rFonts w:ascii="Times New Roman" w:eastAsia="Times New Roman" w:hAnsi="Times New Roman"/>
          <w:b/>
          <w:bCs/>
          <w:lang w:val="en-GB"/>
        </w:rPr>
        <w:t xml:space="preserve"> năm</w:t>
      </w:r>
      <w:r w:rsidR="0021456D" w:rsidRPr="00842D79">
        <w:rPr>
          <w:rFonts w:ascii="Times New Roman" w:eastAsia="Times New Roman" w:hAnsi="Times New Roman"/>
          <w:b/>
          <w:bCs/>
          <w:lang w:val="en-GB"/>
        </w:rPr>
        <w:t xml:space="preserve"> 20</w:t>
      </w:r>
      <w:r w:rsidR="000431DA" w:rsidRPr="00842D79">
        <w:rPr>
          <w:rFonts w:ascii="Times New Roman" w:eastAsia="Times New Roman" w:hAnsi="Times New Roman"/>
          <w:b/>
          <w:bCs/>
          <w:lang w:val="en-GB"/>
        </w:rPr>
        <w:t>2</w:t>
      </w:r>
      <w:r>
        <w:rPr>
          <w:rFonts w:ascii="Times New Roman" w:eastAsia="Times New Roman" w:hAnsi="Times New Roman"/>
          <w:b/>
          <w:bCs/>
          <w:lang w:val="en-GB"/>
        </w:rPr>
        <w:t>4</w:t>
      </w:r>
    </w:p>
    <w:p w14:paraId="110FA5AD" w14:textId="7B69BDD0" w:rsidR="00842D79" w:rsidRPr="00842D79" w:rsidRDefault="0044153F" w:rsidP="00970CC8">
      <w:pPr>
        <w:spacing w:after="0"/>
        <w:jc w:val="center"/>
        <w:rPr>
          <w:rFonts w:ascii="Times New Roman" w:eastAsia="Times New Roman" w:hAnsi="Times New Roman"/>
          <w:b/>
          <w:bCs/>
          <w:i/>
          <w:iCs/>
          <w:lang w:val="en-GB"/>
        </w:rPr>
      </w:pPr>
      <w:r>
        <w:rPr>
          <w:rFonts w:ascii="Times New Roman" w:eastAsia="Times New Roman" w:hAnsi="Times New Roman"/>
          <w:b/>
          <w:bCs/>
          <w:i/>
          <w:iCs/>
          <w:lang w:val="en-GB"/>
        </w:rPr>
        <w:t>4</w:t>
      </w:r>
      <w:r>
        <w:rPr>
          <w:rFonts w:ascii="Times New Roman" w:eastAsia="Times New Roman" w:hAnsi="Times New Roman"/>
          <w:b/>
          <w:bCs/>
          <w:i/>
          <w:iCs/>
          <w:vertAlign w:val="superscript"/>
          <w:lang w:val="en-GB"/>
        </w:rPr>
        <w:t>th</w:t>
      </w:r>
      <w:r w:rsidR="005870ED">
        <w:rPr>
          <w:rFonts w:ascii="Times New Roman" w:eastAsia="Times New Roman" w:hAnsi="Times New Roman"/>
          <w:b/>
          <w:bCs/>
          <w:i/>
          <w:iCs/>
          <w:lang w:val="en-GB"/>
        </w:rPr>
        <w:t xml:space="preserve"> Quarter</w:t>
      </w:r>
      <w:r w:rsidR="00842D79">
        <w:rPr>
          <w:rFonts w:ascii="Times New Roman" w:eastAsia="Times New Roman" w:hAnsi="Times New Roman"/>
          <w:b/>
          <w:bCs/>
          <w:i/>
          <w:iCs/>
          <w:lang w:val="en-GB"/>
        </w:rPr>
        <w:t xml:space="preserve"> 202</w:t>
      </w:r>
      <w:r w:rsidR="005870ED">
        <w:rPr>
          <w:rFonts w:ascii="Times New Roman" w:eastAsia="Times New Roman" w:hAnsi="Times New Roman"/>
          <w:b/>
          <w:bCs/>
          <w:i/>
          <w:iCs/>
          <w:lang w:val="en-GB"/>
        </w:rPr>
        <w:t>4</w:t>
      </w:r>
    </w:p>
    <w:p w14:paraId="4045FE08" w14:textId="77777777" w:rsidR="002D7297" w:rsidRPr="00842D79" w:rsidRDefault="002D7297" w:rsidP="00970CC8">
      <w:pPr>
        <w:spacing w:after="0"/>
        <w:jc w:val="center"/>
        <w:rPr>
          <w:rFonts w:ascii="Times New Roman" w:eastAsia="Times New Roman" w:hAnsi="Times New Roman"/>
          <w:b/>
          <w:bCs/>
          <w:lang w:val="en-GB"/>
        </w:rPr>
      </w:pPr>
    </w:p>
    <w:p w14:paraId="17AFDAD8" w14:textId="0241744D" w:rsidR="0021456D" w:rsidRDefault="0021456D" w:rsidP="00232121">
      <w:pPr>
        <w:numPr>
          <w:ilvl w:val="0"/>
          <w:numId w:val="2"/>
        </w:numPr>
        <w:spacing w:before="120" w:after="120"/>
        <w:ind w:left="0" w:firstLine="0"/>
        <w:jc w:val="both"/>
        <w:rPr>
          <w:rFonts w:ascii="Times New Roman" w:eastAsia="Times New Roman" w:hAnsi="Times New Roman"/>
          <w:b/>
          <w:bCs/>
        </w:rPr>
      </w:pPr>
      <w:r w:rsidRPr="00A36643">
        <w:rPr>
          <w:rFonts w:ascii="Times New Roman" w:eastAsia="Times New Roman" w:hAnsi="Times New Roman"/>
          <w:b/>
          <w:bCs/>
        </w:rPr>
        <w:t>Đặc điểm hoạt động của Quỹ Đầu tư</w:t>
      </w:r>
    </w:p>
    <w:p w14:paraId="24174FC4" w14:textId="704CFEF8" w:rsidR="00842D79" w:rsidRPr="00842D79" w:rsidRDefault="00C03804" w:rsidP="00842D79">
      <w:pPr>
        <w:spacing w:before="120" w:after="120"/>
        <w:ind w:left="720"/>
        <w:jc w:val="both"/>
        <w:rPr>
          <w:rFonts w:ascii="Times New Roman" w:eastAsia="Times New Roman" w:hAnsi="Times New Roman"/>
          <w:b/>
          <w:bCs/>
          <w:i/>
          <w:iCs/>
        </w:rPr>
      </w:pPr>
      <w:r>
        <w:rPr>
          <w:rFonts w:ascii="Times New Roman" w:eastAsia="Times New Roman" w:hAnsi="Times New Roman"/>
          <w:b/>
          <w:bCs/>
          <w:i/>
          <w:iCs/>
        </w:rPr>
        <w:t>General information of the Fund</w:t>
      </w:r>
    </w:p>
    <w:p w14:paraId="506B44D8" w14:textId="742AE97E" w:rsidR="0021456D" w:rsidRDefault="00496861"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Thông tin về Quỹ</w:t>
      </w:r>
    </w:p>
    <w:p w14:paraId="2D4C77EB" w14:textId="66D8CCE0" w:rsidR="00C03804" w:rsidRPr="00C03804" w:rsidRDefault="00C03804" w:rsidP="00C03804">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Fund information</w:t>
      </w:r>
    </w:p>
    <w:p w14:paraId="3E3CEB09" w14:textId="427FC3C6" w:rsidR="00482C44" w:rsidRDefault="00D836D2" w:rsidP="00D836D2">
      <w:pPr>
        <w:pStyle w:val="ListParagraph"/>
        <w:spacing w:before="120" w:after="120"/>
        <w:ind w:left="706"/>
        <w:contextualSpacing w:val="0"/>
        <w:jc w:val="both"/>
        <w:rPr>
          <w:rFonts w:ascii="Times New Roman" w:hAnsi="Times New Roman"/>
        </w:rPr>
      </w:pPr>
      <w:r w:rsidRPr="00A36643">
        <w:rPr>
          <w:rFonts w:ascii="Times New Roman" w:hAnsi="Times New Roman"/>
        </w:rPr>
        <w:t xml:space="preserve">Quỹ </w:t>
      </w:r>
      <w:r w:rsidR="00374909">
        <w:rPr>
          <w:rFonts w:ascii="Times New Roman" w:hAnsi="Times New Roman"/>
        </w:rPr>
        <w:t>Đ</w:t>
      </w:r>
      <w:r w:rsidRPr="00A36643">
        <w:rPr>
          <w:rFonts w:ascii="Times New Roman" w:hAnsi="Times New Roman"/>
        </w:rPr>
        <w:t xml:space="preserve">ầu tư </w:t>
      </w:r>
      <w:r w:rsidR="00374909">
        <w:rPr>
          <w:rFonts w:ascii="Times New Roman" w:hAnsi="Times New Roman"/>
        </w:rPr>
        <w:t>C</w:t>
      </w:r>
      <w:r w:rsidRPr="00A36643">
        <w:rPr>
          <w:rFonts w:ascii="Times New Roman" w:hAnsi="Times New Roman"/>
        </w:rPr>
        <w:t xml:space="preserve">ổ phiếu Hưng Thịnh </w:t>
      </w:r>
      <w:r w:rsidRPr="00F007C5">
        <w:rPr>
          <w:rFonts w:ascii="Times New Roman" w:hAnsi="Times New Roman"/>
        </w:rPr>
        <w:t>VinaCapital</w:t>
      </w:r>
      <w:r w:rsidR="00C334E3" w:rsidRPr="00F007C5">
        <w:rPr>
          <w:rFonts w:ascii="Times New Roman" w:hAnsi="Times New Roman"/>
        </w:rPr>
        <w:t xml:space="preserve"> </w:t>
      </w:r>
      <w:r w:rsidR="00F007C5" w:rsidRPr="00F007C5">
        <w:rPr>
          <w:rFonts w:ascii="Times New Roman" w:hAnsi="Times New Roman"/>
        </w:rPr>
        <w:t xml:space="preserve">(“VINACAPITAL-VEOF”) </w:t>
      </w:r>
      <w:r w:rsidR="00183905" w:rsidRPr="00F007C5">
        <w:rPr>
          <w:rFonts w:ascii="Times New Roman" w:hAnsi="Times New Roman"/>
        </w:rPr>
        <w:t>(“Quỹ</w:t>
      </w:r>
      <w:r w:rsidR="00183905">
        <w:rPr>
          <w:rFonts w:ascii="Times New Roman" w:hAnsi="Times New Roman"/>
        </w:rPr>
        <w:t xml:space="preserve">”) </w:t>
      </w:r>
      <w:r w:rsidR="00496861" w:rsidRPr="00A36643">
        <w:rPr>
          <w:rFonts w:ascii="Times New Roman" w:hAnsi="Times New Roman"/>
        </w:rPr>
        <w:t xml:space="preserve">được thành lập tại Việt Nam dưới hình thức Quỹ mở theo Giấy chứng nhận chào bán chứng chỉ quỹ đầu tư chứng khoán ra công chúng số 18/GCN-UBCK ngày 14 tháng </w:t>
      </w:r>
      <w:r w:rsidR="007C4D1C" w:rsidRPr="00A36643">
        <w:rPr>
          <w:rFonts w:ascii="Times New Roman" w:hAnsi="Times New Roman"/>
        </w:rPr>
        <w:t>0</w:t>
      </w:r>
      <w:r w:rsidR="00496861" w:rsidRPr="00A36643">
        <w:rPr>
          <w:rFonts w:ascii="Times New Roman" w:hAnsi="Times New Roman"/>
        </w:rPr>
        <w:t>3 năm 2014</w:t>
      </w:r>
      <w:r w:rsidR="00CC0D68">
        <w:rPr>
          <w:rFonts w:ascii="Times New Roman" w:hAnsi="Times New Roman"/>
        </w:rPr>
        <w:t>;</w:t>
      </w:r>
      <w:r w:rsidR="00CC0D68" w:rsidRPr="00A36643">
        <w:rPr>
          <w:rFonts w:ascii="Times New Roman" w:hAnsi="Times New Roman"/>
        </w:rPr>
        <w:t xml:space="preserve"> </w:t>
      </w:r>
      <w:r w:rsidR="00CC0D68">
        <w:rPr>
          <w:rFonts w:ascii="Times New Roman" w:hAnsi="Times New Roman"/>
        </w:rPr>
        <w:t>G</w:t>
      </w:r>
      <w:r w:rsidR="00CC0D68" w:rsidRPr="00A36643">
        <w:rPr>
          <w:rFonts w:ascii="Times New Roman" w:hAnsi="Times New Roman"/>
        </w:rPr>
        <w:t xml:space="preserve">iấy </w:t>
      </w:r>
      <w:r w:rsidR="00496861" w:rsidRPr="00A36643">
        <w:rPr>
          <w:rFonts w:ascii="Times New Roman" w:hAnsi="Times New Roman"/>
        </w:rPr>
        <w:t xml:space="preserve">chứng nhận thành lập Quỹ đại chúng số 12/GCN-UBCK ngày </w:t>
      </w:r>
      <w:r w:rsidR="007C4D1C" w:rsidRPr="00A36643">
        <w:rPr>
          <w:rFonts w:ascii="Times New Roman" w:hAnsi="Times New Roman"/>
        </w:rPr>
        <w:t>0</w:t>
      </w:r>
      <w:r w:rsidR="00496861" w:rsidRPr="00A36643">
        <w:rPr>
          <w:rFonts w:ascii="Times New Roman" w:hAnsi="Times New Roman"/>
        </w:rPr>
        <w:t xml:space="preserve">1 tháng </w:t>
      </w:r>
      <w:r w:rsidR="007C4D1C" w:rsidRPr="00A36643">
        <w:rPr>
          <w:rFonts w:ascii="Times New Roman" w:hAnsi="Times New Roman"/>
        </w:rPr>
        <w:t>0</w:t>
      </w:r>
      <w:r w:rsidR="00496861" w:rsidRPr="00A36643">
        <w:rPr>
          <w:rFonts w:ascii="Times New Roman" w:hAnsi="Times New Roman"/>
        </w:rPr>
        <w:t>7 năm 2014</w:t>
      </w:r>
      <w:r w:rsidR="00CC0D68">
        <w:rPr>
          <w:rFonts w:ascii="Times New Roman" w:hAnsi="Times New Roman"/>
        </w:rPr>
        <w:t>;</w:t>
      </w:r>
      <w:r w:rsidR="00496861" w:rsidRPr="00A36643">
        <w:rPr>
          <w:rFonts w:ascii="Times New Roman" w:hAnsi="Times New Roman"/>
        </w:rPr>
        <w:t xml:space="preserve"> Quyết định số 803/QĐ-UBCK ngày </w:t>
      </w:r>
      <w:r w:rsidR="007C4D1C" w:rsidRPr="00A36643">
        <w:rPr>
          <w:rFonts w:ascii="Times New Roman" w:hAnsi="Times New Roman"/>
        </w:rPr>
        <w:t>0</w:t>
      </w:r>
      <w:r w:rsidR="00496861" w:rsidRPr="00A36643">
        <w:rPr>
          <w:rFonts w:ascii="Times New Roman" w:hAnsi="Times New Roman"/>
        </w:rPr>
        <w:t>2 tháng 10 năm 2015 về việc sửa đổi giấy chứng nhận đăng ký thành lập Quỹ đại chúng</w:t>
      </w:r>
      <w:r w:rsidR="00CC0D68">
        <w:rPr>
          <w:rFonts w:ascii="Times New Roman" w:hAnsi="Times New Roman"/>
        </w:rPr>
        <w:t xml:space="preserve">; và Giấy chứng nhận điều chỉnh số 30/GCN-UBCK ngày 01 tháng 07 năm 2022 </w:t>
      </w:r>
      <w:r w:rsidR="00CC0D68" w:rsidRPr="00A36643">
        <w:rPr>
          <w:rFonts w:ascii="Times New Roman" w:hAnsi="Times New Roman"/>
        </w:rPr>
        <w:t>do Ủy ban Chứng khoán Nhà nước cấp</w:t>
      </w:r>
      <w:r w:rsidRPr="00A36643">
        <w:rPr>
          <w:rFonts w:ascii="Times New Roman" w:hAnsi="Times New Roman"/>
        </w:rPr>
        <w:t>.</w:t>
      </w:r>
      <w:r w:rsidR="00496861" w:rsidRPr="00A36643">
        <w:rPr>
          <w:rFonts w:ascii="Times New Roman" w:hAnsi="Times New Roman"/>
        </w:rPr>
        <w:t xml:space="preserve"> Quỹ không bị giới hạn về thời gian hoạt động.</w:t>
      </w:r>
    </w:p>
    <w:p w14:paraId="6296BE4D" w14:textId="4B6B3422" w:rsidR="00C03804" w:rsidRPr="00C03804" w:rsidRDefault="00C03804" w:rsidP="00D836D2">
      <w:pPr>
        <w:pStyle w:val="ListParagraph"/>
        <w:spacing w:before="120" w:after="120"/>
        <w:ind w:left="706"/>
        <w:contextualSpacing w:val="0"/>
        <w:jc w:val="both"/>
        <w:rPr>
          <w:rFonts w:ascii="Times New Roman" w:hAnsi="Times New Roman"/>
          <w:i/>
          <w:iCs/>
        </w:rPr>
      </w:pPr>
      <w:r w:rsidRPr="00C03804">
        <w:rPr>
          <w:rFonts w:ascii="Times New Roman" w:hAnsi="Times New Roman"/>
          <w:i/>
          <w:iCs/>
        </w:rPr>
        <w:t>VinaCapital Equity Opportunity Fund</w:t>
      </w:r>
      <w:r w:rsidR="00F007C5">
        <w:rPr>
          <w:rFonts w:ascii="Times New Roman" w:hAnsi="Times New Roman"/>
          <w:i/>
          <w:iCs/>
        </w:rPr>
        <w:t xml:space="preserve"> (VINACAPITAL-VEOF)</w:t>
      </w:r>
      <w:r w:rsidRPr="00C03804">
        <w:rPr>
          <w:rFonts w:ascii="Times New Roman" w:hAnsi="Times New Roman"/>
          <w:i/>
          <w:iCs/>
        </w:rPr>
        <w:t xml:space="preserve"> (“the Fund”) was established as a public open-ended fund under Certificate of public fund </w:t>
      </w:r>
      <w:r>
        <w:rPr>
          <w:rFonts w:ascii="Times New Roman" w:hAnsi="Times New Roman"/>
          <w:i/>
          <w:iCs/>
        </w:rPr>
        <w:t>offering</w:t>
      </w:r>
      <w:r w:rsidRPr="00C03804">
        <w:rPr>
          <w:rFonts w:ascii="Times New Roman" w:hAnsi="Times New Roman"/>
          <w:i/>
          <w:iCs/>
        </w:rPr>
        <w:t xml:space="preserve"> No. 18/GCN-UBCK on 14 March 2014 and Certificate of registration of public fund establishment No.12/GCN-UBCK on 1 July 2014</w:t>
      </w:r>
      <w:r>
        <w:rPr>
          <w:rFonts w:ascii="Times New Roman" w:hAnsi="Times New Roman"/>
          <w:i/>
          <w:iCs/>
        </w:rPr>
        <w:t>; Decision No. 803/QD-UBCK on 02 October 2015 amending Certificate of registration of public fund establishment; and Amended Certificate No. 30/GCN-UBCK on 01 July 2022 which were</w:t>
      </w:r>
      <w:r w:rsidRPr="00C03804">
        <w:rPr>
          <w:rFonts w:ascii="Times New Roman" w:hAnsi="Times New Roman"/>
          <w:i/>
          <w:iCs/>
        </w:rPr>
        <w:t xml:space="preserve"> issued by the State Securities Commission</w:t>
      </w:r>
      <w:r w:rsidR="001646B9">
        <w:rPr>
          <w:rFonts w:ascii="Times New Roman" w:hAnsi="Times New Roman"/>
          <w:i/>
          <w:iCs/>
        </w:rPr>
        <w:t xml:space="preserve"> of Vietnam</w:t>
      </w:r>
      <w:r w:rsidRPr="00C03804">
        <w:rPr>
          <w:rFonts w:ascii="Times New Roman" w:hAnsi="Times New Roman"/>
          <w:i/>
          <w:iCs/>
        </w:rPr>
        <w:t xml:space="preserve"> (“SSC”).</w:t>
      </w:r>
      <w:r w:rsidR="001D6716">
        <w:rPr>
          <w:rFonts w:ascii="Times New Roman" w:hAnsi="Times New Roman"/>
          <w:i/>
          <w:iCs/>
        </w:rPr>
        <w:t xml:space="preserve"> The Fund has indefinite term.</w:t>
      </w:r>
    </w:p>
    <w:p w14:paraId="42118692" w14:textId="1120263F"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Địa chỉ liên hệ của Quỹ</w:t>
      </w:r>
    </w:p>
    <w:p w14:paraId="19680BEA" w14:textId="5BC9D739" w:rsidR="001D6716" w:rsidRPr="001D6716" w:rsidRDefault="001D6716" w:rsidP="001D6716">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Correspondence address of the Fund</w:t>
      </w:r>
    </w:p>
    <w:p w14:paraId="04E79F7A" w14:textId="69529EF0" w:rsidR="00BA2FDE" w:rsidRDefault="0021456D" w:rsidP="00232121">
      <w:pPr>
        <w:spacing w:before="120" w:after="120"/>
        <w:ind w:left="709"/>
        <w:jc w:val="both"/>
        <w:rPr>
          <w:rFonts w:ascii="Times New Roman" w:eastAsia="Times New Roman" w:hAnsi="Times New Roman"/>
        </w:rPr>
      </w:pPr>
      <w:r w:rsidRPr="00A36643">
        <w:rPr>
          <w:rFonts w:ascii="Times New Roman" w:eastAsia="Times New Roman" w:hAnsi="Times New Roman"/>
        </w:rPr>
        <w:t>Địa chỉ</w:t>
      </w:r>
      <w:r w:rsidR="00496861" w:rsidRPr="00A36643">
        <w:rPr>
          <w:rFonts w:ascii="Times New Roman" w:eastAsia="Times New Roman" w:hAnsi="Times New Roman"/>
        </w:rPr>
        <w:t xml:space="preserve"> liên hệ</w:t>
      </w:r>
      <w:r w:rsidRPr="00A36643">
        <w:rPr>
          <w:rFonts w:ascii="Times New Roman" w:eastAsia="Times New Roman" w:hAnsi="Times New Roman"/>
        </w:rPr>
        <w:t xml:space="preserve">: </w:t>
      </w:r>
      <w:r w:rsidR="004A2738" w:rsidRPr="00A36643">
        <w:rPr>
          <w:rFonts w:ascii="Times New Roman" w:eastAsia="Times New Roman" w:hAnsi="Times New Roman"/>
        </w:rPr>
        <w:t>Công ty Cổ phần Quản lý Quỹ Vina</w:t>
      </w:r>
      <w:r w:rsidR="00116170" w:rsidRPr="00A36643">
        <w:rPr>
          <w:rFonts w:ascii="Times New Roman" w:eastAsia="Times New Roman" w:hAnsi="Times New Roman"/>
        </w:rPr>
        <w:t>Capital</w:t>
      </w:r>
      <w:r w:rsidR="001A0DFE" w:rsidRPr="00A36643">
        <w:rPr>
          <w:rFonts w:ascii="Times New Roman" w:eastAsia="Times New Roman" w:hAnsi="Times New Roman"/>
        </w:rPr>
        <w:t>,</w:t>
      </w:r>
      <w:r w:rsidR="004A2738" w:rsidRPr="00A36643">
        <w:rPr>
          <w:rFonts w:ascii="Times New Roman" w:eastAsia="Times New Roman" w:hAnsi="Times New Roman"/>
        </w:rPr>
        <w:t xml:space="preserve"> </w:t>
      </w:r>
      <w:r w:rsidR="007206AB" w:rsidRPr="00A36643">
        <w:rPr>
          <w:rFonts w:ascii="Times New Roman" w:eastAsia="Times New Roman" w:hAnsi="Times New Roman"/>
        </w:rPr>
        <w:t>Lầu 17</w:t>
      </w:r>
      <w:r w:rsidR="003626A2" w:rsidRPr="00A36643">
        <w:rPr>
          <w:rFonts w:ascii="Times New Roman" w:eastAsia="Times New Roman" w:hAnsi="Times New Roman"/>
        </w:rPr>
        <w:t>,</w:t>
      </w:r>
      <w:r w:rsidR="00E30107" w:rsidRPr="00A36643">
        <w:rPr>
          <w:rFonts w:ascii="Times New Roman" w:eastAsia="Times New Roman" w:hAnsi="Times New Roman"/>
        </w:rPr>
        <w:t xml:space="preserve"> </w:t>
      </w:r>
      <w:r w:rsidR="00105F20" w:rsidRPr="00A36643">
        <w:rPr>
          <w:rFonts w:ascii="Times New Roman" w:eastAsia="Times New Roman" w:hAnsi="Times New Roman"/>
        </w:rPr>
        <w:t xml:space="preserve">Tòa </w:t>
      </w:r>
      <w:r w:rsidR="00E30107" w:rsidRPr="00A36643">
        <w:rPr>
          <w:rFonts w:ascii="Times New Roman" w:eastAsia="Times New Roman" w:hAnsi="Times New Roman"/>
        </w:rPr>
        <w:t>nhà Sun Wah</w:t>
      </w:r>
      <w:r w:rsidR="003626A2" w:rsidRPr="00A36643">
        <w:rPr>
          <w:rFonts w:ascii="Times New Roman" w:eastAsia="Times New Roman" w:hAnsi="Times New Roman"/>
        </w:rPr>
        <w:t>,</w:t>
      </w:r>
      <w:r w:rsidR="007206AB" w:rsidRPr="00A36643">
        <w:rPr>
          <w:rFonts w:ascii="Times New Roman" w:eastAsia="Times New Roman" w:hAnsi="Times New Roman"/>
        </w:rPr>
        <w:t xml:space="preserve"> </w:t>
      </w:r>
      <w:r w:rsidR="00E30107" w:rsidRPr="00A36643">
        <w:rPr>
          <w:rFonts w:ascii="Times New Roman" w:eastAsia="Times New Roman" w:hAnsi="Times New Roman"/>
        </w:rPr>
        <w:t>115 Nguyễn Huệ</w:t>
      </w:r>
      <w:r w:rsidR="003626A2" w:rsidRPr="00A36643">
        <w:rPr>
          <w:rFonts w:ascii="Times New Roman" w:eastAsia="Times New Roman" w:hAnsi="Times New Roman"/>
        </w:rPr>
        <w:t>,</w:t>
      </w:r>
      <w:r w:rsidR="00E30107" w:rsidRPr="00A36643">
        <w:rPr>
          <w:rFonts w:ascii="Times New Roman" w:eastAsia="Times New Roman" w:hAnsi="Times New Roman"/>
        </w:rPr>
        <w:t xml:space="preserve"> Quận 1</w:t>
      </w:r>
      <w:r w:rsidR="003626A2" w:rsidRPr="00A36643">
        <w:rPr>
          <w:rFonts w:ascii="Times New Roman" w:eastAsia="Times New Roman" w:hAnsi="Times New Roman"/>
        </w:rPr>
        <w:t>,</w:t>
      </w:r>
      <w:r w:rsidR="00E30107" w:rsidRPr="00A36643">
        <w:rPr>
          <w:rFonts w:ascii="Times New Roman" w:eastAsia="Times New Roman" w:hAnsi="Times New Roman"/>
        </w:rPr>
        <w:t xml:space="preserve"> T</w:t>
      </w:r>
      <w:r w:rsidR="002D7297" w:rsidRPr="00A36643">
        <w:rPr>
          <w:rFonts w:ascii="Times New Roman" w:eastAsia="Times New Roman" w:hAnsi="Times New Roman"/>
        </w:rPr>
        <w:t xml:space="preserve">hành </w:t>
      </w:r>
      <w:r w:rsidR="007206AB" w:rsidRPr="00A36643">
        <w:rPr>
          <w:rFonts w:ascii="Times New Roman" w:eastAsia="Times New Roman" w:hAnsi="Times New Roman"/>
        </w:rPr>
        <w:t>p</w:t>
      </w:r>
      <w:r w:rsidR="002D7297" w:rsidRPr="00A36643">
        <w:rPr>
          <w:rFonts w:ascii="Times New Roman" w:eastAsia="Times New Roman" w:hAnsi="Times New Roman"/>
        </w:rPr>
        <w:t xml:space="preserve">hố </w:t>
      </w:r>
      <w:r w:rsidR="00E53591" w:rsidRPr="00A36643">
        <w:rPr>
          <w:rFonts w:ascii="Times New Roman" w:hAnsi="Times New Roman"/>
        </w:rPr>
        <w:t>Hồ Chí Minh</w:t>
      </w:r>
      <w:r w:rsidR="003626A2" w:rsidRPr="00A36643">
        <w:rPr>
          <w:rFonts w:ascii="Times New Roman" w:eastAsia="Times New Roman" w:hAnsi="Times New Roman"/>
        </w:rPr>
        <w:t>,</w:t>
      </w:r>
      <w:r w:rsidR="00E30107" w:rsidRPr="00A36643">
        <w:rPr>
          <w:rFonts w:ascii="Times New Roman" w:eastAsia="Times New Roman" w:hAnsi="Times New Roman"/>
        </w:rPr>
        <w:t xml:space="preserve"> Việt Nam</w:t>
      </w:r>
    </w:p>
    <w:p w14:paraId="21A85959" w14:textId="02E10C79" w:rsidR="001D6716" w:rsidRPr="001D6716" w:rsidRDefault="001D6716" w:rsidP="00232121">
      <w:pPr>
        <w:spacing w:before="120" w:after="120"/>
        <w:ind w:left="709"/>
        <w:jc w:val="both"/>
        <w:rPr>
          <w:rFonts w:ascii="Times New Roman" w:eastAsia="Times New Roman" w:hAnsi="Times New Roman"/>
          <w:i/>
          <w:iCs/>
        </w:rPr>
      </w:pPr>
      <w:r>
        <w:rPr>
          <w:rFonts w:ascii="Times New Roman" w:eastAsia="Times New Roman" w:hAnsi="Times New Roman"/>
          <w:i/>
          <w:iCs/>
        </w:rPr>
        <w:t>Correspondence address: VinaCapital Fund Management Joint Stock Company, 17</w:t>
      </w:r>
      <w:r w:rsidRPr="001D6716">
        <w:rPr>
          <w:rFonts w:ascii="Times New Roman" w:eastAsia="Times New Roman" w:hAnsi="Times New Roman"/>
          <w:i/>
          <w:iCs/>
          <w:vertAlign w:val="superscript"/>
        </w:rPr>
        <w:t>th</w:t>
      </w:r>
      <w:r>
        <w:rPr>
          <w:rFonts w:ascii="Times New Roman" w:eastAsia="Times New Roman" w:hAnsi="Times New Roman"/>
          <w:i/>
          <w:iCs/>
        </w:rPr>
        <w:t xml:space="preserve"> Floor, Sun Wah Tower, 115 </w:t>
      </w:r>
      <w:r w:rsidR="0044153F">
        <w:rPr>
          <w:rFonts w:ascii="Times New Roman" w:eastAsia="Times New Roman" w:hAnsi="Times New Roman"/>
          <w:i/>
          <w:iCs/>
        </w:rPr>
        <w:t>Nguyen Hue Street</w:t>
      </w:r>
      <w:r>
        <w:rPr>
          <w:rFonts w:ascii="Times New Roman" w:eastAsia="Times New Roman" w:hAnsi="Times New Roman"/>
          <w:i/>
          <w:iCs/>
        </w:rPr>
        <w:t>, District 1, Ho Chi Minh City, Vietnam</w:t>
      </w:r>
    </w:p>
    <w:p w14:paraId="67073DB2" w14:textId="0E65734C" w:rsidR="00482C44" w:rsidRPr="001D6716" w:rsidRDefault="00E30107" w:rsidP="00232121">
      <w:pPr>
        <w:pStyle w:val="ListParagraph"/>
        <w:numPr>
          <w:ilvl w:val="1"/>
          <w:numId w:val="2"/>
        </w:numPr>
        <w:spacing w:before="120" w:after="120"/>
        <w:ind w:left="0" w:firstLine="0"/>
        <w:contextualSpacing w:val="0"/>
        <w:jc w:val="both"/>
        <w:rPr>
          <w:rFonts w:ascii="Times New Roman" w:eastAsia="Times New Roman" w:hAnsi="Times New Roman"/>
        </w:rPr>
      </w:pPr>
      <w:r w:rsidRPr="00A36643">
        <w:rPr>
          <w:rFonts w:ascii="Times New Roman" w:eastAsia="Times New Roman" w:hAnsi="Times New Roman"/>
          <w:b/>
          <w:bCs/>
        </w:rPr>
        <w:t>Điều lệ hoạt động Quỹ</w:t>
      </w:r>
    </w:p>
    <w:p w14:paraId="6504D70A" w14:textId="3F8685A7" w:rsidR="001D6716" w:rsidRPr="001D6716" w:rsidRDefault="001D6716" w:rsidP="001D6716">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Fund Charter</w:t>
      </w:r>
    </w:p>
    <w:p w14:paraId="58F3FEFD" w14:textId="5A97DD23" w:rsidR="00BA2FDE" w:rsidRPr="00FC7451" w:rsidRDefault="00482C44" w:rsidP="00232121">
      <w:pPr>
        <w:pStyle w:val="ListParagraph"/>
        <w:spacing w:before="120" w:after="120"/>
        <w:ind w:left="709"/>
        <w:contextualSpacing w:val="0"/>
        <w:jc w:val="both"/>
        <w:rPr>
          <w:rFonts w:ascii="Times New Roman" w:eastAsia="Times New Roman" w:hAnsi="Times New Roman"/>
          <w:bCs/>
        </w:rPr>
      </w:pPr>
      <w:r w:rsidRPr="00A36643">
        <w:rPr>
          <w:rFonts w:ascii="Times New Roman" w:eastAsia="Times New Roman" w:hAnsi="Times New Roman"/>
          <w:bCs/>
        </w:rPr>
        <w:t xml:space="preserve">Điều lệ hoạt động quỹ mở </w:t>
      </w:r>
      <w:r w:rsidR="00D26A32" w:rsidRPr="00FC7451">
        <w:rPr>
          <w:rFonts w:ascii="Times New Roman" w:eastAsia="Times New Roman" w:hAnsi="Times New Roman"/>
          <w:bCs/>
        </w:rPr>
        <w:t xml:space="preserve">VINACAPITAL-VEOF </w:t>
      </w:r>
      <w:r w:rsidR="00E30107" w:rsidRPr="00FC7451">
        <w:rPr>
          <w:rFonts w:ascii="Times New Roman" w:eastAsia="Times New Roman" w:hAnsi="Times New Roman"/>
          <w:bCs/>
        </w:rPr>
        <w:t xml:space="preserve">ban hành vào </w:t>
      </w:r>
      <w:r w:rsidR="002643B9" w:rsidRPr="00FC7451">
        <w:rPr>
          <w:rFonts w:ascii="Times New Roman" w:eastAsia="Times New Roman" w:hAnsi="Times New Roman"/>
          <w:bCs/>
        </w:rPr>
        <w:t>tháng 07 năm 2014</w:t>
      </w:r>
      <w:r w:rsidR="00767461" w:rsidRPr="00FC7451">
        <w:rPr>
          <w:rFonts w:ascii="Times New Roman" w:eastAsia="Times New Roman" w:hAnsi="Times New Roman"/>
          <w:bCs/>
        </w:rPr>
        <w:t>,</w:t>
      </w:r>
      <w:r w:rsidR="00B4377B" w:rsidRPr="00FC7451">
        <w:rPr>
          <w:rFonts w:ascii="Times New Roman" w:eastAsia="Times New Roman" w:hAnsi="Times New Roman"/>
          <w:bCs/>
        </w:rPr>
        <w:t xml:space="preserve"> </w:t>
      </w:r>
      <w:r w:rsidR="00E30107" w:rsidRPr="00FC7451">
        <w:rPr>
          <w:rFonts w:ascii="Times New Roman" w:eastAsia="Times New Roman" w:hAnsi="Times New Roman"/>
          <w:bCs/>
        </w:rPr>
        <w:t>được sửa đổi</w:t>
      </w:r>
      <w:r w:rsidR="00767461" w:rsidRPr="00FC7451">
        <w:rPr>
          <w:rFonts w:ascii="Times New Roman" w:eastAsia="Times New Roman" w:hAnsi="Times New Roman"/>
          <w:bCs/>
        </w:rPr>
        <w:t>,</w:t>
      </w:r>
      <w:r w:rsidR="00E30107" w:rsidRPr="00FC7451">
        <w:rPr>
          <w:rFonts w:ascii="Times New Roman" w:eastAsia="Times New Roman" w:hAnsi="Times New Roman"/>
          <w:bCs/>
        </w:rPr>
        <w:t xml:space="preserve"> bổ sung lần</w:t>
      </w:r>
      <w:r w:rsidR="002268F5" w:rsidRPr="00FC7451">
        <w:rPr>
          <w:rFonts w:ascii="Times New Roman" w:eastAsia="Times New Roman" w:hAnsi="Times New Roman"/>
          <w:bCs/>
        </w:rPr>
        <w:t xml:space="preserve"> gần nhất vào tháng 05 năm 202</w:t>
      </w:r>
      <w:r w:rsidR="002F118A">
        <w:rPr>
          <w:rFonts w:ascii="Times New Roman" w:eastAsia="Times New Roman" w:hAnsi="Times New Roman"/>
          <w:bCs/>
        </w:rPr>
        <w:t>4</w:t>
      </w:r>
      <w:r w:rsidR="002268F5" w:rsidRPr="00FC7451">
        <w:rPr>
          <w:rFonts w:ascii="Times New Roman" w:eastAsia="Times New Roman" w:hAnsi="Times New Roman"/>
          <w:bCs/>
        </w:rPr>
        <w:t>.</w:t>
      </w:r>
    </w:p>
    <w:p w14:paraId="0076E1F3" w14:textId="21FCF6F5" w:rsidR="00FB2E13" w:rsidRDefault="004B507A" w:rsidP="00232121">
      <w:pPr>
        <w:pStyle w:val="ListParagraph"/>
        <w:spacing w:before="120" w:after="120"/>
        <w:ind w:left="709"/>
        <w:contextualSpacing w:val="0"/>
        <w:jc w:val="both"/>
        <w:rPr>
          <w:rFonts w:ascii="Times New Roman" w:eastAsia="Times New Roman" w:hAnsi="Times New Roman"/>
          <w:bCs/>
          <w:i/>
          <w:iCs/>
        </w:rPr>
      </w:pPr>
      <w:r w:rsidRPr="00FC7451">
        <w:rPr>
          <w:rFonts w:ascii="Times New Roman" w:eastAsia="Times New Roman" w:hAnsi="Times New Roman"/>
          <w:bCs/>
          <w:i/>
          <w:iCs/>
        </w:rPr>
        <w:t xml:space="preserve">The </w:t>
      </w:r>
      <w:r w:rsidR="001D6716" w:rsidRPr="00FC7451">
        <w:rPr>
          <w:rFonts w:ascii="Times New Roman" w:eastAsia="Times New Roman" w:hAnsi="Times New Roman"/>
          <w:bCs/>
          <w:i/>
          <w:iCs/>
        </w:rPr>
        <w:t xml:space="preserve">Fund Charter of VINACAPITAL-VEOF was first published in July 2014 </w:t>
      </w:r>
      <w:r w:rsidRPr="00FC7451">
        <w:rPr>
          <w:rFonts w:ascii="Times New Roman" w:eastAsia="Times New Roman" w:hAnsi="Times New Roman"/>
          <w:bCs/>
          <w:i/>
          <w:iCs/>
        </w:rPr>
        <w:t xml:space="preserve">and the most updated version was </w:t>
      </w:r>
      <w:r w:rsidR="00362AC0" w:rsidRPr="00FC7451">
        <w:rPr>
          <w:rFonts w:ascii="Times New Roman" w:eastAsia="Times New Roman" w:hAnsi="Times New Roman"/>
          <w:bCs/>
          <w:i/>
          <w:iCs/>
        </w:rPr>
        <w:t>published</w:t>
      </w:r>
      <w:r w:rsidRPr="00FC7451">
        <w:rPr>
          <w:rFonts w:ascii="Times New Roman" w:eastAsia="Times New Roman" w:hAnsi="Times New Roman"/>
          <w:bCs/>
          <w:i/>
          <w:iCs/>
        </w:rPr>
        <w:t xml:space="preserve"> </w:t>
      </w:r>
      <w:r w:rsidR="002F118A">
        <w:rPr>
          <w:rFonts w:ascii="Times New Roman" w:eastAsia="Times New Roman" w:hAnsi="Times New Roman"/>
          <w:bCs/>
          <w:i/>
          <w:iCs/>
        </w:rPr>
        <w:t>in M</w:t>
      </w:r>
      <w:r w:rsidR="001D6716" w:rsidRPr="00FC7451">
        <w:rPr>
          <w:rFonts w:ascii="Times New Roman" w:eastAsia="Times New Roman" w:hAnsi="Times New Roman"/>
          <w:bCs/>
          <w:i/>
          <w:iCs/>
        </w:rPr>
        <w:t>ay 202</w:t>
      </w:r>
      <w:r w:rsidR="002F118A">
        <w:rPr>
          <w:rFonts w:ascii="Times New Roman" w:eastAsia="Times New Roman" w:hAnsi="Times New Roman"/>
          <w:bCs/>
          <w:i/>
          <w:iCs/>
        </w:rPr>
        <w:t>4</w:t>
      </w:r>
      <w:r w:rsidR="001D6716" w:rsidRPr="00FC7451">
        <w:rPr>
          <w:rFonts w:ascii="Times New Roman" w:eastAsia="Times New Roman" w:hAnsi="Times New Roman"/>
          <w:bCs/>
          <w:i/>
          <w:iCs/>
        </w:rPr>
        <w:t>.</w:t>
      </w:r>
    </w:p>
    <w:p w14:paraId="2A9E4911" w14:textId="77777777" w:rsidR="00FB2E13" w:rsidRDefault="00FB2E13">
      <w:pPr>
        <w:spacing w:after="0" w:line="240" w:lineRule="auto"/>
        <w:rPr>
          <w:rFonts w:ascii="Times New Roman" w:eastAsia="Times New Roman" w:hAnsi="Times New Roman"/>
          <w:bCs/>
          <w:i/>
          <w:iCs/>
        </w:rPr>
      </w:pPr>
      <w:r>
        <w:rPr>
          <w:rFonts w:ascii="Times New Roman" w:eastAsia="Times New Roman" w:hAnsi="Times New Roman"/>
          <w:bCs/>
          <w:i/>
          <w:iCs/>
        </w:rPr>
        <w:br w:type="page"/>
      </w:r>
    </w:p>
    <w:p w14:paraId="04737C18" w14:textId="36DC0B78" w:rsidR="00BA2FDE" w:rsidRPr="00AF38A1"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rPr>
      </w:pPr>
      <w:r w:rsidRPr="00A36643">
        <w:rPr>
          <w:rFonts w:ascii="Times New Roman" w:eastAsia="Times New Roman" w:hAnsi="Times New Roman"/>
          <w:b/>
          <w:bCs/>
        </w:rPr>
        <w:lastRenderedPageBreak/>
        <w:t>Những đặc điểm chính về hoạt động Quỹ</w:t>
      </w:r>
    </w:p>
    <w:p w14:paraId="32B0CA18" w14:textId="2A8DE1D7" w:rsidR="00AF38A1" w:rsidRPr="00AF38A1" w:rsidRDefault="00890E1D" w:rsidP="00AF38A1">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General information of the Fund’s operations</w:t>
      </w:r>
    </w:p>
    <w:p w14:paraId="5DE41210" w14:textId="2ED3170A" w:rsidR="00BA2FDE" w:rsidRDefault="00BA2FDE" w:rsidP="00232121">
      <w:pPr>
        <w:pStyle w:val="ListParagraph"/>
        <w:numPr>
          <w:ilvl w:val="0"/>
          <w:numId w:val="16"/>
        </w:numPr>
        <w:tabs>
          <w:tab w:val="left" w:pos="284"/>
        </w:tabs>
        <w:spacing w:before="120" w:after="120"/>
        <w:ind w:left="1418" w:hanging="709"/>
        <w:contextualSpacing w:val="0"/>
        <w:jc w:val="both"/>
        <w:rPr>
          <w:rFonts w:ascii="Times New Roman" w:eastAsia="Times New Roman" w:hAnsi="Times New Roman"/>
          <w:b/>
          <w:i/>
        </w:rPr>
      </w:pPr>
      <w:r w:rsidRPr="00A36643">
        <w:rPr>
          <w:rFonts w:ascii="Times New Roman" w:eastAsia="Times New Roman" w:hAnsi="Times New Roman"/>
          <w:b/>
          <w:i/>
        </w:rPr>
        <w:t xml:space="preserve">Quy mô vốn </w:t>
      </w:r>
      <w:r w:rsidR="0029136A">
        <w:rPr>
          <w:rFonts w:ascii="Times New Roman" w:eastAsia="Times New Roman" w:hAnsi="Times New Roman"/>
          <w:b/>
          <w:i/>
        </w:rPr>
        <w:t xml:space="preserve">của </w:t>
      </w:r>
      <w:r w:rsidRPr="00A36643">
        <w:rPr>
          <w:rFonts w:ascii="Times New Roman" w:eastAsia="Times New Roman" w:hAnsi="Times New Roman"/>
          <w:b/>
          <w:i/>
        </w:rPr>
        <w:t>Quỹ</w:t>
      </w:r>
    </w:p>
    <w:p w14:paraId="7327B79E" w14:textId="4636458E" w:rsidR="00890E1D" w:rsidRPr="00A36643" w:rsidRDefault="00890E1D" w:rsidP="00890E1D">
      <w:pPr>
        <w:pStyle w:val="ListParagraph"/>
        <w:tabs>
          <w:tab w:val="left" w:pos="284"/>
        </w:tabs>
        <w:spacing w:before="120" w:after="120"/>
        <w:ind w:left="1418"/>
        <w:contextualSpacing w:val="0"/>
        <w:jc w:val="both"/>
        <w:rPr>
          <w:rFonts w:ascii="Times New Roman" w:eastAsia="Times New Roman" w:hAnsi="Times New Roman"/>
          <w:b/>
          <w:i/>
        </w:rPr>
      </w:pPr>
      <w:r>
        <w:rPr>
          <w:rFonts w:ascii="Times New Roman" w:eastAsia="Times New Roman" w:hAnsi="Times New Roman"/>
          <w:b/>
          <w:i/>
        </w:rPr>
        <w:t>Size of the Fund</w:t>
      </w:r>
    </w:p>
    <w:p w14:paraId="14517532" w14:textId="66889460" w:rsidR="00482C44" w:rsidRDefault="00496861" w:rsidP="00232121">
      <w:pPr>
        <w:spacing w:before="120" w:after="120"/>
        <w:ind w:left="709"/>
        <w:jc w:val="both"/>
        <w:rPr>
          <w:rFonts w:ascii="Times New Roman" w:hAnsi="Times New Roman"/>
          <w:lang w:val="vi-VN"/>
        </w:rPr>
      </w:pPr>
      <w:r w:rsidRPr="00A36643">
        <w:rPr>
          <w:rFonts w:ascii="Times New Roman" w:hAnsi="Times New Roman"/>
          <w:lang w:val="vi-VN"/>
        </w:rPr>
        <w:t>Tổng số đơn vị chứng chỉ quỹ đã phân phối lần đầu là 5.713.232</w:t>
      </w:r>
      <w:r w:rsidR="00015308" w:rsidRPr="00A36643">
        <w:rPr>
          <w:rFonts w:ascii="Times New Roman" w:hAnsi="Times New Roman"/>
        </w:rPr>
        <w:t>,</w:t>
      </w:r>
      <w:r w:rsidRPr="00A36643">
        <w:rPr>
          <w:rFonts w:ascii="Times New Roman" w:hAnsi="Times New Roman"/>
          <w:lang w:val="vi-VN"/>
        </w:rPr>
        <w:t>10 chứng chỉ với tổng giá trị là 57.132.321.000 đồng</w:t>
      </w:r>
      <w:r w:rsidR="00BC7BD9" w:rsidRPr="00A36643">
        <w:rPr>
          <w:rFonts w:ascii="Times New Roman" w:hAnsi="Times New Roman"/>
        </w:rPr>
        <w:t>,</w:t>
      </w:r>
      <w:r w:rsidRPr="00A36643">
        <w:rPr>
          <w:rFonts w:ascii="Times New Roman" w:hAnsi="Times New Roman"/>
          <w:lang w:val="vi-VN"/>
        </w:rPr>
        <w:t xml:space="preserve"> chiếm 114</w:t>
      </w:r>
      <w:r w:rsidR="00E02833" w:rsidRPr="00A36643">
        <w:rPr>
          <w:rFonts w:ascii="Times New Roman" w:hAnsi="Times New Roman"/>
        </w:rPr>
        <w:t>,</w:t>
      </w:r>
      <w:r w:rsidRPr="00A36643">
        <w:rPr>
          <w:rFonts w:ascii="Times New Roman" w:hAnsi="Times New Roman"/>
          <w:lang w:val="vi-VN"/>
        </w:rPr>
        <w:t>26%</w:t>
      </w:r>
      <w:r w:rsidR="00AD5645" w:rsidRPr="00A36643">
        <w:rPr>
          <w:rFonts w:ascii="Times New Roman" w:hAnsi="Times New Roman"/>
        </w:rPr>
        <w:t xml:space="preserve"> </w:t>
      </w:r>
      <w:r w:rsidRPr="00A36643">
        <w:rPr>
          <w:rFonts w:ascii="Times New Roman" w:hAnsi="Times New Roman"/>
          <w:lang w:val="vi-VN"/>
        </w:rPr>
        <w:t>tổng số đơn vị chứng chỉ quỹ dự kiến chào bán là 5.000.000 chứng chỉ quỹ với mệnh giá là 10.000 VN</w:t>
      </w:r>
      <w:r w:rsidR="008755B4" w:rsidRPr="00A36643">
        <w:rPr>
          <w:rFonts w:ascii="Times New Roman" w:hAnsi="Times New Roman"/>
        </w:rPr>
        <w:t>Đ</w:t>
      </w:r>
      <w:r w:rsidRPr="00A36643">
        <w:rPr>
          <w:rFonts w:ascii="Times New Roman" w:hAnsi="Times New Roman"/>
          <w:lang w:val="vi-VN"/>
        </w:rPr>
        <w:t>/đơn vị quỹ. Tạ</w:t>
      </w:r>
      <w:r w:rsidR="005B1597" w:rsidRPr="00A36643">
        <w:rPr>
          <w:rFonts w:ascii="Times New Roman" w:hAnsi="Times New Roman"/>
          <w:lang w:val="vi-VN"/>
        </w:rPr>
        <w:t xml:space="preserve">i ngày </w:t>
      </w:r>
      <w:r w:rsidR="0044153F">
        <w:rPr>
          <w:rFonts w:ascii="Times New Roman" w:hAnsi="Times New Roman"/>
          <w:lang w:val="vi-VN"/>
        </w:rPr>
        <w:t>31</w:t>
      </w:r>
      <w:r w:rsidRPr="00A36643">
        <w:rPr>
          <w:rFonts w:ascii="Times New Roman" w:hAnsi="Times New Roman"/>
          <w:lang w:val="vi-VN"/>
        </w:rPr>
        <w:t xml:space="preserve"> tháng </w:t>
      </w:r>
      <w:r w:rsidR="0044153F">
        <w:rPr>
          <w:rFonts w:ascii="Times New Roman" w:hAnsi="Times New Roman"/>
        </w:rPr>
        <w:t>12</w:t>
      </w:r>
      <w:r w:rsidR="007C4D1C" w:rsidRPr="00A36643">
        <w:rPr>
          <w:rFonts w:ascii="Times New Roman" w:hAnsi="Times New Roman"/>
          <w:lang w:val="vi-VN"/>
        </w:rPr>
        <w:t xml:space="preserve"> </w:t>
      </w:r>
      <w:r w:rsidRPr="00A36643">
        <w:rPr>
          <w:rFonts w:ascii="Times New Roman" w:hAnsi="Times New Roman"/>
          <w:lang w:val="vi-VN"/>
        </w:rPr>
        <w:t>năm 20</w:t>
      </w:r>
      <w:r w:rsidR="009D0EEC" w:rsidRPr="00A36643">
        <w:rPr>
          <w:rFonts w:ascii="Times New Roman" w:hAnsi="Times New Roman"/>
          <w:lang w:val="vi-VN"/>
        </w:rPr>
        <w:t>2</w:t>
      </w:r>
      <w:r w:rsidR="005870ED">
        <w:rPr>
          <w:rFonts w:ascii="Times New Roman" w:hAnsi="Times New Roman"/>
        </w:rPr>
        <w:t>4</w:t>
      </w:r>
      <w:r w:rsidR="003B7B6E" w:rsidRPr="00A36643">
        <w:rPr>
          <w:rFonts w:ascii="Times New Roman" w:hAnsi="Times New Roman"/>
          <w:lang w:val="vi-VN"/>
        </w:rPr>
        <w:t>,</w:t>
      </w:r>
      <w:r w:rsidRPr="00A36643">
        <w:rPr>
          <w:rFonts w:ascii="Times New Roman" w:hAnsi="Times New Roman"/>
          <w:lang w:val="vi-VN"/>
        </w:rPr>
        <w:t xml:space="preserve"> vốn góp bằng mệnh giá của nhà đầu tư vào Quỹ </w:t>
      </w:r>
      <w:r w:rsidRPr="00FC7451">
        <w:rPr>
          <w:rFonts w:ascii="Times New Roman" w:hAnsi="Times New Roman"/>
          <w:lang w:val="vi-VN"/>
        </w:rPr>
        <w:t>là</w:t>
      </w:r>
      <w:r w:rsidR="00877D5B">
        <w:rPr>
          <w:rFonts w:ascii="Times New Roman" w:hAnsi="Times New Roman"/>
          <w:lang w:val="vi-VN"/>
        </w:rPr>
        <w:t xml:space="preserve"> </w:t>
      </w:r>
      <w:r w:rsidR="0044153F">
        <w:rPr>
          <w:rFonts w:ascii="Times New Roman" w:hAnsi="Times New Roman"/>
        </w:rPr>
        <w:t>330</w:t>
      </w:r>
      <w:r w:rsidR="0044153F">
        <w:rPr>
          <w:rFonts w:ascii="Times New Roman" w:hAnsi="Times New Roman"/>
          <w:lang w:val="vi-VN"/>
        </w:rPr>
        <w:t>.</w:t>
      </w:r>
      <w:r w:rsidR="0044153F">
        <w:rPr>
          <w:rFonts w:ascii="Times New Roman" w:hAnsi="Times New Roman"/>
        </w:rPr>
        <w:t>495</w:t>
      </w:r>
      <w:r w:rsidR="0044153F">
        <w:rPr>
          <w:rFonts w:ascii="Times New Roman" w:hAnsi="Times New Roman"/>
          <w:lang w:val="vi-VN"/>
        </w:rPr>
        <w:t>.</w:t>
      </w:r>
      <w:r w:rsidR="0044153F">
        <w:rPr>
          <w:rFonts w:ascii="Times New Roman" w:hAnsi="Times New Roman"/>
        </w:rPr>
        <w:t>010</w:t>
      </w:r>
      <w:r w:rsidR="0044153F">
        <w:rPr>
          <w:rFonts w:ascii="Times New Roman" w:hAnsi="Times New Roman"/>
          <w:lang w:val="vi-VN"/>
        </w:rPr>
        <w:t>.</w:t>
      </w:r>
      <w:r w:rsidR="0044153F" w:rsidRPr="0044153F">
        <w:rPr>
          <w:rFonts w:ascii="Times New Roman" w:hAnsi="Times New Roman"/>
        </w:rPr>
        <w:t>900</w:t>
      </w:r>
      <w:r w:rsidR="00877D5B">
        <w:rPr>
          <w:rFonts w:ascii="Times New Roman" w:hAnsi="Times New Roman"/>
          <w:lang w:val="vi-VN"/>
        </w:rPr>
        <w:t xml:space="preserve"> </w:t>
      </w:r>
      <w:r w:rsidRPr="00FC7451">
        <w:rPr>
          <w:rFonts w:ascii="Times New Roman" w:hAnsi="Times New Roman"/>
          <w:lang w:val="vi-VN"/>
        </w:rPr>
        <w:t>đồng</w:t>
      </w:r>
      <w:r w:rsidR="00BC7BD9" w:rsidRPr="00FC7451">
        <w:rPr>
          <w:rFonts w:ascii="Times New Roman" w:hAnsi="Times New Roman"/>
          <w:lang w:val="vi-VN"/>
        </w:rPr>
        <w:t>,</w:t>
      </w:r>
      <w:r w:rsidRPr="00FC7451">
        <w:rPr>
          <w:rFonts w:ascii="Times New Roman" w:hAnsi="Times New Roman"/>
          <w:lang w:val="vi-VN"/>
        </w:rPr>
        <w:t xml:space="preserve"> tương đương vớ</w:t>
      </w:r>
      <w:r w:rsidR="00116170" w:rsidRPr="00FC7451">
        <w:rPr>
          <w:rFonts w:ascii="Times New Roman" w:hAnsi="Times New Roman"/>
          <w:lang w:val="vi-VN"/>
        </w:rPr>
        <w:t>i</w:t>
      </w:r>
      <w:r w:rsidR="00EC3D10" w:rsidRPr="00FC7451">
        <w:rPr>
          <w:rFonts w:ascii="Times New Roman" w:hAnsi="Times New Roman"/>
          <w:lang w:val="vi-VN"/>
        </w:rPr>
        <w:t xml:space="preserve"> </w:t>
      </w:r>
      <w:r w:rsidR="005870ED" w:rsidRPr="005870ED">
        <w:rPr>
          <w:rFonts w:ascii="Times New Roman" w:hAnsi="Times New Roman"/>
          <w:lang w:val="vi-VN"/>
        </w:rPr>
        <w:t xml:space="preserve"> </w:t>
      </w:r>
      <w:r w:rsidR="0044153F">
        <w:rPr>
          <w:rFonts w:ascii="Times New Roman" w:hAnsi="Times New Roman"/>
        </w:rPr>
        <w:t>33</w:t>
      </w:r>
      <w:r w:rsidR="0044153F">
        <w:rPr>
          <w:rFonts w:ascii="Times New Roman" w:hAnsi="Times New Roman"/>
          <w:lang w:val="vi-VN"/>
        </w:rPr>
        <w:t>.</w:t>
      </w:r>
      <w:r w:rsidR="0044153F">
        <w:rPr>
          <w:rFonts w:ascii="Times New Roman" w:hAnsi="Times New Roman"/>
        </w:rPr>
        <w:t>049</w:t>
      </w:r>
      <w:r w:rsidR="0044153F">
        <w:rPr>
          <w:rFonts w:ascii="Times New Roman" w:hAnsi="Times New Roman"/>
          <w:lang w:val="vi-VN"/>
        </w:rPr>
        <w:t>.</w:t>
      </w:r>
      <w:r w:rsidR="0044153F">
        <w:rPr>
          <w:rFonts w:ascii="Times New Roman" w:hAnsi="Times New Roman"/>
        </w:rPr>
        <w:t>501</w:t>
      </w:r>
      <w:r w:rsidR="0044153F">
        <w:rPr>
          <w:rFonts w:ascii="Times New Roman" w:hAnsi="Times New Roman"/>
          <w:lang w:val="vi-VN"/>
        </w:rPr>
        <w:t>,</w:t>
      </w:r>
      <w:r w:rsidR="0044153F">
        <w:rPr>
          <w:rFonts w:ascii="Times New Roman" w:hAnsi="Times New Roman"/>
        </w:rPr>
        <w:t>0</w:t>
      </w:r>
      <w:r w:rsidR="0044153F" w:rsidRPr="0044153F">
        <w:rPr>
          <w:rFonts w:ascii="Times New Roman" w:hAnsi="Times New Roman"/>
        </w:rPr>
        <w:t>9</w:t>
      </w:r>
      <w:r w:rsidR="0044153F">
        <w:rPr>
          <w:rFonts w:ascii="Times New Roman" w:hAnsi="Times New Roman"/>
          <w:lang w:val="vi-VN"/>
        </w:rPr>
        <w:t xml:space="preserve"> </w:t>
      </w:r>
      <w:r w:rsidRPr="00FC7451">
        <w:rPr>
          <w:rFonts w:ascii="Times New Roman" w:hAnsi="Times New Roman"/>
          <w:lang w:val="vi-VN"/>
        </w:rPr>
        <w:t>chứng chỉ quỹ.</w:t>
      </w:r>
    </w:p>
    <w:p w14:paraId="409A23D5" w14:textId="5DD28BD6" w:rsidR="00890E1D" w:rsidRPr="00890E1D" w:rsidRDefault="006E0824" w:rsidP="00232121">
      <w:pPr>
        <w:spacing w:before="120" w:after="120"/>
        <w:ind w:left="709"/>
        <w:jc w:val="both"/>
        <w:rPr>
          <w:rFonts w:ascii="Times New Roman" w:hAnsi="Times New Roman"/>
          <w:i/>
          <w:iCs/>
          <w:lang w:val="vi-VN"/>
        </w:rPr>
      </w:pPr>
      <w:r w:rsidRPr="00FC7451">
        <w:rPr>
          <w:rFonts w:ascii="Times New Roman" w:hAnsi="Times New Roman"/>
          <w:i/>
          <w:iCs/>
        </w:rPr>
        <w:t>Number of fund units allotted in the Initial Public Offering was 5,713,232.10, equivalent to VND 57,132,321,000,</w:t>
      </w:r>
      <w:r w:rsidR="00F622A2" w:rsidRPr="00FC7451">
        <w:rPr>
          <w:rFonts w:ascii="Times New Roman" w:hAnsi="Times New Roman"/>
          <w:i/>
          <w:iCs/>
        </w:rPr>
        <w:t xml:space="preserve"> </w:t>
      </w:r>
      <w:r w:rsidR="001F302A" w:rsidRPr="00FC7451">
        <w:rPr>
          <w:rFonts w:ascii="Times New Roman" w:hAnsi="Times New Roman"/>
          <w:i/>
          <w:iCs/>
        </w:rPr>
        <w:t>exceeding</w:t>
      </w:r>
      <w:r w:rsidR="00F622A2" w:rsidRPr="00FC7451">
        <w:rPr>
          <w:rFonts w:ascii="Times New Roman" w:hAnsi="Times New Roman"/>
          <w:i/>
          <w:iCs/>
        </w:rPr>
        <w:t xml:space="preserve"> 114.26%</w:t>
      </w:r>
      <w:r w:rsidR="007C13AB" w:rsidRPr="00FC7451">
        <w:rPr>
          <w:rFonts w:ascii="Times New Roman" w:hAnsi="Times New Roman"/>
          <w:i/>
          <w:iCs/>
        </w:rPr>
        <w:t xml:space="preserve"> compared to the</w:t>
      </w:r>
      <w:r w:rsidR="002539F1" w:rsidRPr="00FC7451">
        <w:rPr>
          <w:rFonts w:ascii="Times New Roman" w:hAnsi="Times New Roman"/>
          <w:i/>
          <w:iCs/>
        </w:rPr>
        <w:t xml:space="preserve"> </w:t>
      </w:r>
      <w:r w:rsidR="001F302A" w:rsidRPr="00FC7451">
        <w:rPr>
          <w:rFonts w:ascii="Times New Roman" w:hAnsi="Times New Roman"/>
          <w:i/>
          <w:iCs/>
        </w:rPr>
        <w:t>projected</w:t>
      </w:r>
      <w:r w:rsidR="007C13AB" w:rsidRPr="00FC7451">
        <w:rPr>
          <w:rFonts w:ascii="Times New Roman" w:hAnsi="Times New Roman"/>
          <w:i/>
          <w:iCs/>
        </w:rPr>
        <w:t xml:space="preserve"> number of </w:t>
      </w:r>
      <w:r w:rsidR="001F302A" w:rsidRPr="00FC7451">
        <w:rPr>
          <w:rFonts w:ascii="Times New Roman" w:hAnsi="Times New Roman"/>
          <w:i/>
          <w:iCs/>
        </w:rPr>
        <w:t xml:space="preserve">issued </w:t>
      </w:r>
      <w:r w:rsidR="007C13AB" w:rsidRPr="00FC7451">
        <w:rPr>
          <w:rFonts w:ascii="Times New Roman" w:hAnsi="Times New Roman"/>
          <w:i/>
          <w:iCs/>
        </w:rPr>
        <w:t>units</w:t>
      </w:r>
      <w:r w:rsidR="001F302A" w:rsidRPr="00FC7451">
        <w:rPr>
          <w:rFonts w:ascii="Times New Roman" w:hAnsi="Times New Roman"/>
          <w:i/>
          <w:iCs/>
        </w:rPr>
        <w:t xml:space="preserve"> of 5,000,000 at par value VND 10,000/ fund unit. </w:t>
      </w:r>
      <w:r w:rsidR="00890E1D" w:rsidRPr="00FC7451">
        <w:rPr>
          <w:rFonts w:ascii="Times New Roman" w:hAnsi="Times New Roman"/>
          <w:i/>
          <w:iCs/>
          <w:lang w:val="vi-VN"/>
        </w:rPr>
        <w:t xml:space="preserve">As at </w:t>
      </w:r>
      <w:r w:rsidR="0044153F">
        <w:rPr>
          <w:rFonts w:ascii="Times New Roman" w:hAnsi="Times New Roman"/>
          <w:i/>
          <w:iCs/>
          <w:lang w:val="vi-VN"/>
        </w:rPr>
        <w:t>31</w:t>
      </w:r>
      <w:r w:rsidR="00877D5B">
        <w:rPr>
          <w:rFonts w:ascii="Times New Roman" w:hAnsi="Times New Roman"/>
          <w:i/>
          <w:iCs/>
          <w:lang w:val="vi-VN"/>
        </w:rPr>
        <w:t xml:space="preserve"> </w:t>
      </w:r>
      <w:r w:rsidR="0044153F">
        <w:rPr>
          <w:rFonts w:ascii="Times New Roman" w:hAnsi="Times New Roman"/>
          <w:i/>
          <w:iCs/>
          <w:lang w:val="vi-VN"/>
        </w:rPr>
        <w:t>December</w:t>
      </w:r>
      <w:r w:rsidR="00877D5B">
        <w:rPr>
          <w:rFonts w:ascii="Times New Roman" w:hAnsi="Times New Roman"/>
          <w:i/>
          <w:iCs/>
          <w:lang w:val="vi-VN"/>
        </w:rPr>
        <w:t xml:space="preserve"> </w:t>
      </w:r>
      <w:r w:rsidR="00890E1D" w:rsidRPr="00FC7451">
        <w:rPr>
          <w:rFonts w:ascii="Times New Roman" w:hAnsi="Times New Roman"/>
          <w:i/>
          <w:iCs/>
          <w:lang w:val="vi-VN"/>
        </w:rPr>
        <w:t>202</w:t>
      </w:r>
      <w:r w:rsidR="005870ED">
        <w:rPr>
          <w:rFonts w:ascii="Times New Roman" w:hAnsi="Times New Roman"/>
          <w:i/>
          <w:iCs/>
        </w:rPr>
        <w:t>4</w:t>
      </w:r>
      <w:r w:rsidR="00890E1D" w:rsidRPr="00FC7451">
        <w:rPr>
          <w:rFonts w:ascii="Times New Roman" w:hAnsi="Times New Roman"/>
          <w:i/>
          <w:iCs/>
          <w:lang w:val="vi-VN"/>
        </w:rPr>
        <w:t xml:space="preserve">, the </w:t>
      </w:r>
      <w:r w:rsidR="00E21BA1" w:rsidRPr="00FC7451">
        <w:rPr>
          <w:rFonts w:ascii="Times New Roman" w:hAnsi="Times New Roman"/>
          <w:i/>
          <w:iCs/>
        </w:rPr>
        <w:t>Fund’s owners’ equity (by par value)</w:t>
      </w:r>
      <w:r w:rsidR="00890E1D" w:rsidRPr="00FC7451">
        <w:rPr>
          <w:rFonts w:ascii="Times New Roman" w:hAnsi="Times New Roman"/>
          <w:i/>
          <w:iCs/>
          <w:lang w:val="vi-VN"/>
        </w:rPr>
        <w:t xml:space="preserve"> was VND</w:t>
      </w:r>
      <w:r w:rsidR="007D2267" w:rsidRPr="00FC7451">
        <w:rPr>
          <w:rFonts w:ascii="Times New Roman" w:hAnsi="Times New Roman"/>
          <w:i/>
          <w:iCs/>
        </w:rPr>
        <w:t xml:space="preserve"> </w:t>
      </w:r>
      <w:r w:rsidR="005870ED" w:rsidRPr="005870ED">
        <w:rPr>
          <w:rFonts w:ascii="Times New Roman" w:hAnsi="Times New Roman"/>
          <w:i/>
          <w:iCs/>
        </w:rPr>
        <w:t xml:space="preserve"> </w:t>
      </w:r>
      <w:r w:rsidR="0044153F" w:rsidRPr="0044153F">
        <w:rPr>
          <w:rFonts w:ascii="Times New Roman" w:hAnsi="Times New Roman"/>
          <w:i/>
          <w:iCs/>
          <w:lang w:val="vi-VN"/>
        </w:rPr>
        <w:t>330,495,010,</w:t>
      </w:r>
      <w:r w:rsidR="0044153F">
        <w:rPr>
          <w:rFonts w:ascii="Times New Roman" w:hAnsi="Times New Roman"/>
          <w:i/>
          <w:iCs/>
          <w:lang w:val="vi-VN"/>
        </w:rPr>
        <w:t xml:space="preserve">900; </w:t>
      </w:r>
      <w:r w:rsidR="00890E1D" w:rsidRPr="00FC7451">
        <w:rPr>
          <w:rFonts w:ascii="Times New Roman" w:hAnsi="Times New Roman"/>
          <w:i/>
          <w:iCs/>
          <w:lang w:val="vi-VN"/>
        </w:rPr>
        <w:t xml:space="preserve">equivalent to </w:t>
      </w:r>
      <w:r w:rsidR="0044153F">
        <w:rPr>
          <w:rFonts w:ascii="Times New Roman" w:hAnsi="Times New Roman"/>
          <w:i/>
          <w:iCs/>
          <w:lang w:val="vi-VN"/>
        </w:rPr>
        <w:t>33,049,501.</w:t>
      </w:r>
      <w:r w:rsidR="0044153F" w:rsidRPr="0044153F">
        <w:rPr>
          <w:rFonts w:ascii="Times New Roman" w:hAnsi="Times New Roman"/>
          <w:i/>
          <w:iCs/>
          <w:lang w:val="vi-VN"/>
        </w:rPr>
        <w:t>09</w:t>
      </w:r>
      <w:r w:rsidR="005870ED" w:rsidRPr="005870ED">
        <w:rPr>
          <w:rFonts w:ascii="Times New Roman" w:hAnsi="Times New Roman"/>
          <w:i/>
          <w:iCs/>
          <w:lang w:val="vi-VN"/>
        </w:rPr>
        <w:t xml:space="preserve"> </w:t>
      </w:r>
      <w:r w:rsidR="0044153F">
        <w:rPr>
          <w:rFonts w:ascii="Times New Roman" w:hAnsi="Times New Roman"/>
          <w:lang w:val="vi-VN"/>
        </w:rPr>
        <w:t xml:space="preserve"> </w:t>
      </w:r>
      <w:r w:rsidR="00890E1D" w:rsidRPr="00FC7451">
        <w:rPr>
          <w:rFonts w:ascii="Times New Roman" w:hAnsi="Times New Roman"/>
          <w:i/>
          <w:iCs/>
          <w:lang w:val="vi-VN"/>
        </w:rPr>
        <w:t xml:space="preserve">fund </w:t>
      </w:r>
      <w:r w:rsidR="0042383F" w:rsidRPr="00FC7451">
        <w:rPr>
          <w:rFonts w:ascii="Times New Roman" w:hAnsi="Times New Roman"/>
          <w:i/>
          <w:iCs/>
        </w:rPr>
        <w:t>units</w:t>
      </w:r>
      <w:r w:rsidR="00890E1D" w:rsidRPr="00FC7451">
        <w:rPr>
          <w:rFonts w:ascii="Times New Roman" w:hAnsi="Times New Roman"/>
          <w:i/>
          <w:iCs/>
          <w:lang w:val="vi-VN"/>
        </w:rPr>
        <w:t>.</w:t>
      </w:r>
    </w:p>
    <w:p w14:paraId="1409C78C" w14:textId="1EAB4FD0" w:rsidR="0021456D" w:rsidRDefault="0021456D" w:rsidP="00232121">
      <w:pPr>
        <w:numPr>
          <w:ilvl w:val="0"/>
          <w:numId w:val="3"/>
        </w:numPr>
        <w:tabs>
          <w:tab w:val="left" w:pos="284"/>
        </w:tabs>
        <w:spacing w:before="120" w:after="120"/>
        <w:ind w:left="0" w:firstLine="709"/>
        <w:jc w:val="both"/>
        <w:rPr>
          <w:rFonts w:ascii="Times New Roman" w:eastAsia="Times New Roman" w:hAnsi="Times New Roman"/>
          <w:b/>
          <w:i/>
          <w:lang w:val="vi-VN"/>
        </w:rPr>
      </w:pPr>
      <w:r w:rsidRPr="00A36643">
        <w:rPr>
          <w:rFonts w:ascii="Times New Roman" w:eastAsia="Times New Roman" w:hAnsi="Times New Roman"/>
          <w:b/>
          <w:i/>
          <w:lang w:val="vi-VN"/>
        </w:rPr>
        <w:t>Mục tiêu đầu tư của Quỹ</w:t>
      </w:r>
    </w:p>
    <w:p w14:paraId="2D21A8D1" w14:textId="7B15BC23" w:rsidR="0042383F" w:rsidRPr="00CA5A38" w:rsidRDefault="0042383F" w:rsidP="0042383F">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CA5A38">
        <w:rPr>
          <w:rFonts w:ascii="Times New Roman" w:eastAsia="Times New Roman" w:hAnsi="Times New Roman"/>
          <w:b/>
          <w:i/>
          <w:lang w:val="vi-VN"/>
        </w:rPr>
        <w:t>Investment objectives</w:t>
      </w:r>
    </w:p>
    <w:p w14:paraId="3D996D40" w14:textId="49463CB7" w:rsidR="00BA2FDE" w:rsidRDefault="004A2738" w:rsidP="00232121">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Mục tiêu đầu tư của Quỹ là tìm kiếm</w:t>
      </w:r>
      <w:r w:rsidR="00B24F92" w:rsidRPr="00A36643">
        <w:rPr>
          <w:rFonts w:ascii="Times New Roman" w:eastAsia="Times New Roman" w:hAnsi="Times New Roman"/>
          <w:lang w:val="vi-VN"/>
        </w:rPr>
        <w:t>,</w:t>
      </w:r>
      <w:r w:rsidRPr="00A36643">
        <w:rPr>
          <w:rFonts w:ascii="Times New Roman" w:eastAsia="Times New Roman" w:hAnsi="Times New Roman"/>
          <w:lang w:val="vi-VN"/>
        </w:rPr>
        <w:t xml:space="preserve"> nắm bắt cơ hội đầu tư trên thị trường chứng khoán</w:t>
      </w:r>
      <w:r w:rsidR="00702231" w:rsidRPr="00A36643">
        <w:rPr>
          <w:rFonts w:ascii="Times New Roman" w:eastAsia="Times New Roman" w:hAnsi="Times New Roman"/>
          <w:lang w:val="vi-VN"/>
        </w:rPr>
        <w:t xml:space="preserve"> </w:t>
      </w:r>
      <w:r w:rsidRPr="00A36643">
        <w:rPr>
          <w:rFonts w:ascii="Times New Roman" w:eastAsia="Times New Roman" w:hAnsi="Times New Roman"/>
          <w:lang w:val="vi-VN"/>
        </w:rPr>
        <w:t>hướng đến tối đa hóa lợi nhuận đầu tư và tối thiểu hóa rủi ro cho nhà đầu tư.</w:t>
      </w:r>
    </w:p>
    <w:p w14:paraId="26941CF6" w14:textId="6C747F7E" w:rsidR="0042383F" w:rsidRPr="0042383F" w:rsidRDefault="0042383F" w:rsidP="00232121">
      <w:pPr>
        <w:spacing w:before="120" w:after="120"/>
        <w:ind w:left="709"/>
        <w:jc w:val="both"/>
        <w:rPr>
          <w:rFonts w:ascii="Times New Roman" w:eastAsia="Times New Roman" w:hAnsi="Times New Roman"/>
          <w:i/>
          <w:iCs/>
        </w:rPr>
      </w:pPr>
      <w:r w:rsidRPr="0042383F">
        <w:rPr>
          <w:rFonts w:ascii="Times New Roman" w:hAnsi="Times New Roman"/>
          <w:i/>
          <w:iCs/>
        </w:rPr>
        <w:t>The Fund’s investment objectives are to seek and explore investment opportunities in the stock market, maximise returns on investments and minimise risks for fund unitholders</w:t>
      </w:r>
      <w:r>
        <w:rPr>
          <w:rFonts w:ascii="Times New Roman" w:hAnsi="Times New Roman"/>
          <w:i/>
          <w:iCs/>
        </w:rPr>
        <w:t>.</w:t>
      </w:r>
    </w:p>
    <w:p w14:paraId="793DF733" w14:textId="4C4C0846" w:rsidR="00644E0C" w:rsidRPr="0042383F" w:rsidRDefault="0021456D" w:rsidP="00D3037F">
      <w:pPr>
        <w:numPr>
          <w:ilvl w:val="0"/>
          <w:numId w:val="3"/>
        </w:numPr>
        <w:tabs>
          <w:tab w:val="left" w:pos="284"/>
        </w:tabs>
        <w:spacing w:before="120" w:after="120"/>
        <w:ind w:left="1418" w:hanging="709"/>
        <w:jc w:val="both"/>
        <w:rPr>
          <w:rFonts w:ascii="Times New Roman" w:eastAsia="Times New Roman" w:hAnsi="Times New Roman"/>
          <w:lang w:val="vi-VN"/>
        </w:rPr>
      </w:pPr>
      <w:r w:rsidRPr="00A36643">
        <w:rPr>
          <w:rFonts w:ascii="Times New Roman" w:eastAsia="Times New Roman" w:hAnsi="Times New Roman"/>
          <w:b/>
          <w:bCs/>
          <w:i/>
          <w:lang w:val="vi-VN"/>
        </w:rPr>
        <w:t>Kỳ tính giá trị tài sản ròng (NAV)</w:t>
      </w:r>
    </w:p>
    <w:p w14:paraId="1BE636E1" w14:textId="47504770" w:rsidR="0042383F" w:rsidRPr="0042383F" w:rsidRDefault="0042383F" w:rsidP="0042383F">
      <w:pPr>
        <w:tabs>
          <w:tab w:val="left" w:pos="284"/>
        </w:tabs>
        <w:spacing w:before="120" w:after="120"/>
        <w:ind w:left="1418"/>
        <w:jc w:val="both"/>
        <w:rPr>
          <w:rFonts w:ascii="Times New Roman" w:eastAsia="Times New Roman" w:hAnsi="Times New Roman"/>
        </w:rPr>
      </w:pPr>
      <w:r>
        <w:rPr>
          <w:rFonts w:ascii="Times New Roman" w:eastAsia="Times New Roman" w:hAnsi="Times New Roman"/>
          <w:b/>
          <w:bCs/>
          <w:i/>
        </w:rPr>
        <w:t>Frequency of Net asset value (NAV) valuation</w:t>
      </w:r>
    </w:p>
    <w:p w14:paraId="245A895E" w14:textId="6DD15D0A" w:rsidR="00DA25C3" w:rsidRDefault="00644E0C" w:rsidP="00970CC8">
      <w:pPr>
        <w:tabs>
          <w:tab w:val="left" w:pos="720"/>
        </w:tabs>
        <w:spacing w:before="120" w:after="120"/>
        <w:ind w:left="720"/>
        <w:jc w:val="both"/>
        <w:rPr>
          <w:rFonts w:ascii="Times New Roman" w:eastAsia="Times New Roman" w:hAnsi="Times New Roman"/>
          <w:bCs/>
          <w:lang w:val="vi-VN"/>
        </w:rPr>
      </w:pPr>
      <w:r w:rsidRPr="00A36643">
        <w:rPr>
          <w:rFonts w:ascii="Times New Roman" w:eastAsia="Times New Roman" w:hAnsi="Times New Roman"/>
          <w:bCs/>
          <w:lang w:val="vi-VN"/>
        </w:rPr>
        <w:t xml:space="preserve">Giá trị tài sản ròng của Quỹ được xác định hàng ngày vào các ngày làm việc và </w:t>
      </w:r>
      <w:r w:rsidR="00B5323B" w:rsidRPr="00A36643">
        <w:rPr>
          <w:rFonts w:ascii="Times New Roman" w:eastAsia="Times New Roman" w:hAnsi="Times New Roman"/>
          <w:bCs/>
          <w:lang w:val="vi-VN"/>
        </w:rPr>
        <w:t>hàng tháng vào ngày đầu tiên của tháng tiếp theo.</w:t>
      </w:r>
      <w:r w:rsidR="00B5323B" w:rsidRPr="00A36643">
        <w:rPr>
          <w:rFonts w:ascii="Times New Roman" w:eastAsia="Times New Roman" w:hAnsi="Times New Roman"/>
          <w:b/>
          <w:bCs/>
          <w:lang w:val="vi-VN"/>
        </w:rPr>
        <w:t xml:space="preserve"> </w:t>
      </w:r>
      <w:r w:rsidR="00DA25C3" w:rsidRPr="00A36643">
        <w:rPr>
          <w:rFonts w:ascii="Times New Roman" w:eastAsia="Times New Roman" w:hAnsi="Times New Roman"/>
          <w:bCs/>
          <w:lang w:val="vi-VN"/>
        </w:rPr>
        <w:t>Trong trường hợp ngày định giá của kỳ định giá rơi vào ngày nghỉ hoặc ngày lễ thì ngày định giá sẽ được dời đến ngày định giá (là ngày làm việc) kế tiếp. Đối với kỳ định giá hàng tháng, ngày định giá là ngày đầu tiên của tháng tiếp theo và không thay đổi kể cả trường hợp ngày định giá rơi vào ngày nghỉ hoặc ngày lễ.</w:t>
      </w:r>
    </w:p>
    <w:p w14:paraId="13EB422B" w14:textId="16592886" w:rsidR="0042383F" w:rsidRPr="0042383F" w:rsidRDefault="0042383F" w:rsidP="0042383F">
      <w:pPr>
        <w:spacing w:before="120" w:after="120"/>
        <w:ind w:left="709"/>
        <w:jc w:val="both"/>
        <w:rPr>
          <w:rFonts w:ascii="Times New Roman" w:hAnsi="Times New Roman"/>
          <w:i/>
          <w:iCs/>
        </w:rPr>
      </w:pPr>
      <w:r w:rsidRPr="0042383F">
        <w:rPr>
          <w:rFonts w:ascii="Times New Roman" w:hAnsi="Times New Roman"/>
          <w:i/>
          <w:iCs/>
        </w:rPr>
        <w:t xml:space="preserve">The Fund's NAV is determined daily on every working day and the first day of the following month. In case the valuation date is a holiday or public holiday, the valuation </w:t>
      </w:r>
      <w:r>
        <w:rPr>
          <w:rFonts w:ascii="Times New Roman" w:hAnsi="Times New Roman"/>
          <w:i/>
          <w:iCs/>
        </w:rPr>
        <w:t>day</w:t>
      </w:r>
      <w:r w:rsidRPr="0042383F">
        <w:rPr>
          <w:rFonts w:ascii="Times New Roman" w:hAnsi="Times New Roman"/>
          <w:i/>
          <w:iCs/>
        </w:rPr>
        <w:t xml:space="preserve"> will be the next valuation </w:t>
      </w:r>
      <w:r>
        <w:rPr>
          <w:rFonts w:ascii="Times New Roman" w:hAnsi="Times New Roman"/>
          <w:i/>
          <w:iCs/>
        </w:rPr>
        <w:t>day</w:t>
      </w:r>
      <w:r w:rsidRPr="0042383F">
        <w:rPr>
          <w:rFonts w:ascii="Times New Roman" w:hAnsi="Times New Roman"/>
          <w:i/>
          <w:iCs/>
        </w:rPr>
        <w:t xml:space="preserve"> (which is a working day). For the monthly valuation, the valuation d</w:t>
      </w:r>
      <w:r>
        <w:rPr>
          <w:rFonts w:ascii="Times New Roman" w:hAnsi="Times New Roman"/>
          <w:i/>
          <w:iCs/>
        </w:rPr>
        <w:t>ay</w:t>
      </w:r>
      <w:r w:rsidRPr="0042383F">
        <w:rPr>
          <w:rFonts w:ascii="Times New Roman" w:hAnsi="Times New Roman"/>
          <w:i/>
          <w:iCs/>
        </w:rPr>
        <w:t xml:space="preserve"> is the first day of the following month regardless of the holiday or public holiday.</w:t>
      </w:r>
    </w:p>
    <w:p w14:paraId="552FFC5E" w14:textId="0B45091E" w:rsidR="00BD2F2E" w:rsidRDefault="004861A0" w:rsidP="00C06F6B">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Giá trị tài sản ròng của Quỹ phải được thông báo công khai trên các phương tiện công bố thông tin của Công ty Quản lý Quỹ cho Nhà Đầu tư sau khi có xác nhận của Ngân Hàng giám sát và có giá trị cho đến khi có thông báo mới.</w:t>
      </w:r>
    </w:p>
    <w:p w14:paraId="727B7499" w14:textId="717F5A31" w:rsidR="0042383F" w:rsidRPr="0042383F" w:rsidRDefault="00106F12" w:rsidP="00C06F6B">
      <w:pPr>
        <w:spacing w:before="120" w:after="120"/>
        <w:ind w:left="709"/>
        <w:jc w:val="both"/>
        <w:rPr>
          <w:rFonts w:ascii="Times New Roman" w:eastAsia="Times New Roman" w:hAnsi="Times New Roman"/>
          <w:i/>
          <w:iCs/>
        </w:rPr>
      </w:pPr>
      <w:r>
        <w:rPr>
          <w:rFonts w:ascii="Times New Roman" w:eastAsia="Times New Roman" w:hAnsi="Times New Roman"/>
          <w:i/>
          <w:iCs/>
        </w:rPr>
        <w:t>After being confirmed by the Supervisory Bank, t</w:t>
      </w:r>
      <w:r w:rsidR="0042383F">
        <w:rPr>
          <w:rFonts w:ascii="Times New Roman" w:eastAsia="Times New Roman" w:hAnsi="Times New Roman"/>
          <w:i/>
          <w:iCs/>
        </w:rPr>
        <w:t xml:space="preserve">he Net asset value of the Fund is published on </w:t>
      </w:r>
      <w:r>
        <w:rPr>
          <w:rFonts w:ascii="Times New Roman" w:eastAsia="Times New Roman" w:hAnsi="Times New Roman"/>
          <w:i/>
          <w:iCs/>
        </w:rPr>
        <w:t>all means of information disclosure of the Fund Management Company and is valid until further notice.</w:t>
      </w:r>
    </w:p>
    <w:p w14:paraId="22E9DA8A" w14:textId="3DB3EC42" w:rsidR="004A2738" w:rsidRPr="00106F12" w:rsidRDefault="0021456D" w:rsidP="00106F12">
      <w:pPr>
        <w:numPr>
          <w:ilvl w:val="0"/>
          <w:numId w:val="3"/>
        </w:numPr>
        <w:tabs>
          <w:tab w:val="left" w:pos="284"/>
        </w:tabs>
        <w:spacing w:before="120" w:after="120"/>
        <w:ind w:left="0" w:firstLine="709"/>
        <w:jc w:val="both"/>
        <w:rPr>
          <w:rFonts w:ascii="Times New Roman" w:eastAsia="Times New Roman" w:hAnsi="Times New Roman"/>
          <w:b/>
          <w:i/>
          <w:lang w:val="vi-VN"/>
        </w:rPr>
      </w:pPr>
      <w:r w:rsidRPr="00106F12">
        <w:rPr>
          <w:rFonts w:ascii="Times New Roman" w:eastAsia="Times New Roman" w:hAnsi="Times New Roman"/>
          <w:b/>
          <w:i/>
          <w:lang w:val="vi-VN"/>
        </w:rPr>
        <w:t xml:space="preserve">Tần suất giao dịch chứng chỉ </w:t>
      </w:r>
      <w:r w:rsidR="0029136A" w:rsidRPr="00106F12">
        <w:rPr>
          <w:rFonts w:ascii="Times New Roman" w:eastAsia="Times New Roman" w:hAnsi="Times New Roman"/>
          <w:b/>
          <w:i/>
          <w:lang w:val="vi-VN"/>
        </w:rPr>
        <w:t>Q</w:t>
      </w:r>
      <w:r w:rsidRPr="00106F12">
        <w:rPr>
          <w:rFonts w:ascii="Times New Roman" w:eastAsia="Times New Roman" w:hAnsi="Times New Roman"/>
          <w:b/>
          <w:i/>
          <w:lang w:val="vi-VN"/>
        </w:rPr>
        <w:t>uỹ</w:t>
      </w:r>
    </w:p>
    <w:p w14:paraId="3A7B6D87" w14:textId="7AC673EE" w:rsidR="00106F12" w:rsidRPr="00106F12" w:rsidRDefault="00106F12" w:rsidP="00106F12">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106F12">
        <w:rPr>
          <w:rFonts w:ascii="Times New Roman" w:eastAsia="Times New Roman" w:hAnsi="Times New Roman"/>
          <w:b/>
          <w:i/>
          <w:lang w:val="vi-VN"/>
        </w:rPr>
        <w:t>Frequency of fund unit trading</w:t>
      </w:r>
    </w:p>
    <w:p w14:paraId="1B0E80A7" w14:textId="2A5A6D9E" w:rsidR="00B5323B"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Chứng chỉ Quỹ được giao dịch hàng ngày vào các ngày làm việc trong tuần</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Trong trường hợp ngày giao dịch rơi vào ngày nghỉ hoặc ngày nghỉ lễ hay ngày nghỉ bù theo quy định</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việc giao dịch </w:t>
      </w:r>
      <w:r w:rsidR="002C5AC9" w:rsidRPr="00253D8D">
        <w:rPr>
          <w:rFonts w:ascii="Times New Roman" w:eastAsia="Times New Roman" w:hAnsi="Times New Roman"/>
          <w:bCs/>
          <w:lang w:val="vi-VN"/>
        </w:rPr>
        <w:t>c</w:t>
      </w:r>
      <w:r w:rsidR="002C5AC9" w:rsidRPr="00A36643">
        <w:rPr>
          <w:rFonts w:ascii="Times New Roman" w:eastAsia="Times New Roman" w:hAnsi="Times New Roman"/>
          <w:bCs/>
          <w:lang w:val="vi-VN"/>
        </w:rPr>
        <w:t xml:space="preserve">hứng </w:t>
      </w:r>
      <w:r w:rsidR="00B5323B" w:rsidRPr="00A36643">
        <w:rPr>
          <w:rFonts w:ascii="Times New Roman" w:eastAsia="Times New Roman" w:hAnsi="Times New Roman"/>
          <w:bCs/>
          <w:lang w:val="vi-VN"/>
        </w:rPr>
        <w:t>chỉ Quỹ sẽ được thực hiện vào Ngày giao dịch kế tiếp của Quỹ.</w:t>
      </w:r>
    </w:p>
    <w:p w14:paraId="6A2C1F7C" w14:textId="07FA35DB"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 xml:space="preserve">Trading activities are carried out daily on weekdays. In case the </w:t>
      </w:r>
      <w:r>
        <w:rPr>
          <w:rFonts w:ascii="Times New Roman" w:eastAsia="Times New Roman" w:hAnsi="Times New Roman"/>
          <w:i/>
          <w:iCs/>
        </w:rPr>
        <w:t>trading</w:t>
      </w:r>
      <w:r w:rsidRPr="00106F12">
        <w:rPr>
          <w:rFonts w:ascii="Times New Roman" w:eastAsia="Times New Roman" w:hAnsi="Times New Roman"/>
          <w:i/>
          <w:iCs/>
        </w:rPr>
        <w:t xml:space="preserve"> da</w:t>
      </w:r>
      <w:r>
        <w:rPr>
          <w:rFonts w:ascii="Times New Roman" w:eastAsia="Times New Roman" w:hAnsi="Times New Roman"/>
          <w:i/>
          <w:iCs/>
        </w:rPr>
        <w:t>y</w:t>
      </w:r>
      <w:r w:rsidRPr="00106F12">
        <w:rPr>
          <w:rFonts w:ascii="Times New Roman" w:eastAsia="Times New Roman" w:hAnsi="Times New Roman"/>
          <w:i/>
          <w:iCs/>
        </w:rPr>
        <w:t xml:space="preserve"> is a public holiday, the fund </w:t>
      </w:r>
      <w:r>
        <w:rPr>
          <w:rFonts w:ascii="Times New Roman" w:eastAsia="Times New Roman" w:hAnsi="Times New Roman"/>
          <w:i/>
          <w:iCs/>
        </w:rPr>
        <w:t>units</w:t>
      </w:r>
      <w:r w:rsidRPr="00106F12">
        <w:rPr>
          <w:rFonts w:ascii="Times New Roman" w:eastAsia="Times New Roman" w:hAnsi="Times New Roman"/>
          <w:i/>
          <w:iCs/>
        </w:rPr>
        <w:t xml:space="preserve"> will be traded on the next </w:t>
      </w:r>
      <w:r>
        <w:rPr>
          <w:rFonts w:ascii="Times New Roman" w:eastAsia="Times New Roman" w:hAnsi="Times New Roman"/>
          <w:i/>
          <w:iCs/>
        </w:rPr>
        <w:t>trading day</w:t>
      </w:r>
      <w:r w:rsidRPr="00106F12">
        <w:rPr>
          <w:rFonts w:ascii="Times New Roman" w:eastAsia="Times New Roman" w:hAnsi="Times New Roman"/>
          <w:i/>
          <w:iCs/>
        </w:rPr>
        <w:t xml:space="preserve"> (which is a working day) of the Fund.</w:t>
      </w:r>
    </w:p>
    <w:p w14:paraId="14E3B4BB" w14:textId="24F0C6EF" w:rsidR="00AE6BD4"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lastRenderedPageBreak/>
        <w:t>Việc giảm tần suất giao dịch sẽ được Đại hội nhà đầu tư thông qua và luôn đảm bảo tần suất giao dịch không được ít hơn hai lần trong một tháng.</w:t>
      </w:r>
    </w:p>
    <w:p w14:paraId="440C9764" w14:textId="16674970"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Any decrease in trading frequency must be approved by the General Meeting of Investors and the trading frequency must be always not less than twice in one month.</w:t>
      </w:r>
    </w:p>
    <w:p w14:paraId="0EAFFAA8" w14:textId="13790C1C" w:rsidR="00AE06AC" w:rsidRPr="00106F12" w:rsidRDefault="0021456D" w:rsidP="00232121">
      <w:pPr>
        <w:numPr>
          <w:ilvl w:val="0"/>
          <w:numId w:val="3"/>
        </w:numPr>
        <w:tabs>
          <w:tab w:val="left" w:pos="284"/>
        </w:tabs>
        <w:spacing w:before="120" w:after="120"/>
        <w:ind w:left="709" w:firstLine="0"/>
        <w:jc w:val="both"/>
        <w:rPr>
          <w:rFonts w:ascii="Times New Roman" w:eastAsia="Times New Roman" w:hAnsi="Times New Roman"/>
          <w:b/>
          <w:bCs/>
          <w:lang w:val="vi-VN"/>
        </w:rPr>
      </w:pPr>
      <w:r w:rsidRPr="00A36643">
        <w:rPr>
          <w:rFonts w:ascii="Times New Roman" w:eastAsia="Times New Roman" w:hAnsi="Times New Roman"/>
          <w:b/>
          <w:bCs/>
          <w:i/>
          <w:lang w:val="vi-VN"/>
        </w:rPr>
        <w:t>Hạn chế đầu tư của Quỹ</w:t>
      </w:r>
    </w:p>
    <w:p w14:paraId="25D23E0E" w14:textId="413B3871" w:rsidR="00106F12" w:rsidRPr="00CA5A38" w:rsidRDefault="00106F12" w:rsidP="00106F12">
      <w:pPr>
        <w:tabs>
          <w:tab w:val="left" w:pos="284"/>
        </w:tabs>
        <w:spacing w:before="120" w:after="120"/>
        <w:ind w:left="709"/>
        <w:jc w:val="both"/>
        <w:rPr>
          <w:rFonts w:ascii="Times New Roman" w:eastAsia="Times New Roman" w:hAnsi="Times New Roman"/>
          <w:b/>
          <w:bCs/>
          <w:lang w:val="vi-VN"/>
        </w:rPr>
      </w:pPr>
      <w:r>
        <w:rPr>
          <w:rFonts w:ascii="Times New Roman" w:eastAsia="Times New Roman" w:hAnsi="Times New Roman"/>
          <w:b/>
          <w:bCs/>
          <w:i/>
          <w:lang w:val="vi-VN"/>
        </w:rPr>
        <w:tab/>
      </w:r>
      <w:r>
        <w:rPr>
          <w:rFonts w:ascii="Times New Roman" w:eastAsia="Times New Roman" w:hAnsi="Times New Roman"/>
          <w:b/>
          <w:bCs/>
          <w:i/>
          <w:lang w:val="vi-VN"/>
        </w:rPr>
        <w:tab/>
      </w:r>
      <w:r w:rsidR="00620F8C" w:rsidRPr="00CA5A38">
        <w:rPr>
          <w:rFonts w:ascii="Times New Roman" w:eastAsia="Times New Roman" w:hAnsi="Times New Roman"/>
          <w:b/>
          <w:bCs/>
          <w:i/>
          <w:lang w:val="vi-VN"/>
        </w:rPr>
        <w:t>Investment restrictions</w:t>
      </w:r>
    </w:p>
    <w:p w14:paraId="37CB6BAB" w14:textId="17F12371" w:rsidR="00176BDD" w:rsidRDefault="00F65669" w:rsidP="00AE6BD4">
      <w:pPr>
        <w:tabs>
          <w:tab w:val="left" w:pos="284"/>
        </w:tabs>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Danh mục đầu tư của Quỹ và các hạn chế đầu tư phải phù hợp với các mục tiêu và chính sách đầu tư đã được quy định rõ trong Điều lệ hoạt động của Quỹ và Bản cáo bạch</w:t>
      </w:r>
      <w:r w:rsidR="00AE6BD4" w:rsidRPr="00A36643">
        <w:rPr>
          <w:rFonts w:ascii="Times New Roman" w:eastAsia="Times New Roman" w:hAnsi="Times New Roman"/>
          <w:bCs/>
          <w:lang w:val="vi-VN"/>
        </w:rPr>
        <w:t>.</w:t>
      </w:r>
    </w:p>
    <w:p w14:paraId="18E9581B" w14:textId="58ACE8FE" w:rsidR="00620F8C" w:rsidRPr="007D2267" w:rsidRDefault="00620F8C" w:rsidP="007D2267">
      <w:pPr>
        <w:spacing w:before="120" w:after="120"/>
        <w:ind w:left="709"/>
        <w:jc w:val="both"/>
        <w:rPr>
          <w:rFonts w:ascii="Times New Roman" w:eastAsia="Times New Roman" w:hAnsi="Times New Roman"/>
          <w:i/>
          <w:iCs/>
        </w:rPr>
      </w:pPr>
      <w:r w:rsidRPr="00620F8C">
        <w:rPr>
          <w:rFonts w:ascii="Times New Roman" w:eastAsia="Times New Roman" w:hAnsi="Times New Roman"/>
          <w:i/>
          <w:iCs/>
        </w:rPr>
        <w:t xml:space="preserve">The Fund’s investment </w:t>
      </w:r>
      <w:r>
        <w:rPr>
          <w:rFonts w:ascii="Times New Roman" w:eastAsia="Times New Roman" w:hAnsi="Times New Roman"/>
          <w:i/>
          <w:iCs/>
        </w:rPr>
        <w:t>portfolio</w:t>
      </w:r>
      <w:r w:rsidRPr="00620F8C">
        <w:rPr>
          <w:rFonts w:ascii="Times New Roman" w:eastAsia="Times New Roman" w:hAnsi="Times New Roman"/>
          <w:i/>
          <w:iCs/>
        </w:rPr>
        <w:t xml:space="preserve"> </w:t>
      </w:r>
      <w:r w:rsidR="00B847AC">
        <w:rPr>
          <w:rFonts w:ascii="Times New Roman" w:eastAsia="Times New Roman" w:hAnsi="Times New Roman"/>
          <w:i/>
          <w:iCs/>
        </w:rPr>
        <w:t xml:space="preserve">and investment restrictions must comply with the investment objectives and investment policy </w:t>
      </w:r>
      <w:r w:rsidRPr="00620F8C">
        <w:rPr>
          <w:rFonts w:ascii="Times New Roman" w:eastAsia="Times New Roman" w:hAnsi="Times New Roman"/>
          <w:i/>
          <w:iCs/>
        </w:rPr>
        <w:t xml:space="preserve">stipulated in the Fund Charter, </w:t>
      </w:r>
      <w:r w:rsidR="00B847AC">
        <w:rPr>
          <w:rFonts w:ascii="Times New Roman" w:eastAsia="Times New Roman" w:hAnsi="Times New Roman"/>
          <w:i/>
          <w:iCs/>
        </w:rPr>
        <w:t xml:space="preserve">and </w:t>
      </w:r>
      <w:r w:rsidRPr="00620F8C">
        <w:rPr>
          <w:rFonts w:ascii="Times New Roman" w:eastAsia="Times New Roman" w:hAnsi="Times New Roman"/>
          <w:i/>
          <w:iCs/>
        </w:rPr>
        <w:t>Prospectus.</w:t>
      </w:r>
    </w:p>
    <w:p w14:paraId="3B20FAA9" w14:textId="648E23EF" w:rsidR="0021456D" w:rsidRDefault="0021456D" w:rsidP="00232121">
      <w:pPr>
        <w:numPr>
          <w:ilvl w:val="0"/>
          <w:numId w:val="2"/>
        </w:numPr>
        <w:spacing w:before="120" w:after="120"/>
        <w:ind w:left="0" w:firstLine="0"/>
        <w:jc w:val="both"/>
        <w:rPr>
          <w:rFonts w:ascii="Times New Roman" w:eastAsia="Times New Roman" w:hAnsi="Times New Roman"/>
          <w:b/>
          <w:bCs/>
          <w:lang w:val="vi-VN"/>
        </w:rPr>
      </w:pPr>
      <w:r w:rsidRPr="00A36643">
        <w:rPr>
          <w:rFonts w:ascii="Times New Roman" w:eastAsia="Times New Roman" w:hAnsi="Times New Roman"/>
          <w:b/>
          <w:bCs/>
          <w:lang w:val="vi-VN"/>
        </w:rPr>
        <w:t>Kỳ kế toán</w:t>
      </w:r>
      <w:r w:rsidR="00B4377B" w:rsidRPr="00A36643">
        <w:rPr>
          <w:rFonts w:ascii="Times New Roman" w:eastAsia="Times New Roman" w:hAnsi="Times New Roman"/>
          <w:b/>
          <w:bCs/>
          <w:lang w:val="vi-VN"/>
        </w:rPr>
        <w:t xml:space="preserve">, </w:t>
      </w:r>
      <w:r w:rsidRPr="00A36643">
        <w:rPr>
          <w:rFonts w:ascii="Times New Roman" w:eastAsia="Times New Roman" w:hAnsi="Times New Roman"/>
          <w:b/>
          <w:bCs/>
          <w:lang w:val="vi-VN"/>
        </w:rPr>
        <w:t>đơn vị tiền tệ sử dụng trong kế toán</w:t>
      </w:r>
    </w:p>
    <w:p w14:paraId="3C057525" w14:textId="724E598F" w:rsidR="00B847AC" w:rsidRPr="00721845" w:rsidRDefault="00B847AC" w:rsidP="00B847AC">
      <w:pPr>
        <w:spacing w:before="120" w:after="120"/>
        <w:ind w:left="720"/>
        <w:jc w:val="both"/>
        <w:rPr>
          <w:rFonts w:ascii="Times New Roman" w:eastAsia="Times New Roman" w:hAnsi="Times New Roman"/>
          <w:b/>
          <w:bCs/>
          <w:i/>
          <w:iCs/>
        </w:rPr>
      </w:pPr>
      <w:r w:rsidRPr="00721845">
        <w:rPr>
          <w:rFonts w:ascii="Times New Roman" w:eastAsia="Times New Roman" w:hAnsi="Times New Roman"/>
          <w:b/>
          <w:bCs/>
          <w:i/>
          <w:iCs/>
        </w:rPr>
        <w:t xml:space="preserve">Fiscal year, </w:t>
      </w:r>
      <w:r w:rsidR="00721845" w:rsidRPr="00721845">
        <w:rPr>
          <w:rFonts w:ascii="Times New Roman" w:eastAsia="Times New Roman" w:hAnsi="Times New Roman"/>
          <w:b/>
          <w:bCs/>
          <w:i/>
          <w:iCs/>
        </w:rPr>
        <w:t xml:space="preserve">and </w:t>
      </w:r>
      <w:r w:rsidRPr="00721845">
        <w:rPr>
          <w:rFonts w:ascii="Times New Roman" w:eastAsia="Times New Roman" w:hAnsi="Times New Roman"/>
          <w:b/>
          <w:bCs/>
          <w:i/>
          <w:iCs/>
        </w:rPr>
        <w:t>currency</w:t>
      </w:r>
    </w:p>
    <w:p w14:paraId="7B3D0380" w14:textId="42CEB776"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Kỳ kế toán</w:t>
      </w:r>
    </w:p>
    <w:p w14:paraId="0F611518" w14:textId="2AC90AED"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Fiscal year</w:t>
      </w:r>
    </w:p>
    <w:p w14:paraId="6EBC4B18" w14:textId="7DB4DCF1" w:rsidR="00F65669" w:rsidRDefault="00B23607" w:rsidP="00232121">
      <w:pPr>
        <w:spacing w:before="120" w:after="120"/>
        <w:ind w:left="709"/>
        <w:jc w:val="both"/>
        <w:rPr>
          <w:rFonts w:ascii="Times New Roman" w:eastAsia="Times New Roman" w:hAnsi="Times New Roman"/>
        </w:rPr>
      </w:pPr>
      <w:r w:rsidRPr="00A36643">
        <w:rPr>
          <w:rFonts w:ascii="Times New Roman" w:eastAsia="Times New Roman" w:hAnsi="Times New Roman"/>
        </w:rPr>
        <w:t>Kỳ kế toán năm của quỹ bắt đầu từ ngày 01 tháng 01 và kết thúc vào ngày 31 tháng 12</w:t>
      </w:r>
      <w:r w:rsidR="00F65669" w:rsidRPr="00A36643">
        <w:rPr>
          <w:rFonts w:ascii="Times New Roman" w:eastAsia="Times New Roman" w:hAnsi="Times New Roman"/>
        </w:rPr>
        <w:t>.</w:t>
      </w:r>
    </w:p>
    <w:p w14:paraId="1E8D0842" w14:textId="60ED8E4A" w:rsidR="00721845" w:rsidRPr="00721845" w:rsidRDefault="00721845" w:rsidP="00232121">
      <w:pPr>
        <w:spacing w:before="120" w:after="120"/>
        <w:ind w:left="709"/>
        <w:jc w:val="both"/>
        <w:rPr>
          <w:rFonts w:ascii="Times New Roman" w:eastAsia="Times New Roman" w:hAnsi="Times New Roman"/>
          <w:i/>
          <w:iCs/>
        </w:rPr>
      </w:pPr>
      <w:r>
        <w:rPr>
          <w:rFonts w:ascii="Times New Roman" w:eastAsia="Times New Roman" w:hAnsi="Times New Roman"/>
          <w:i/>
          <w:iCs/>
        </w:rPr>
        <w:t>The Fund’s fiscal year starts on 1 January and ends on 31 December.</w:t>
      </w:r>
    </w:p>
    <w:p w14:paraId="4899D2D3" w14:textId="1478878D"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Đơn vị tiền tệ sử dụng trong kế toán</w:t>
      </w:r>
    </w:p>
    <w:p w14:paraId="6EF4D774" w14:textId="4D1ABE63"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Currency</w:t>
      </w:r>
    </w:p>
    <w:p w14:paraId="5039D346" w14:textId="1606BA87" w:rsidR="0088660F" w:rsidRDefault="0040152F" w:rsidP="00232121">
      <w:pPr>
        <w:spacing w:before="120" w:after="120"/>
        <w:ind w:left="709"/>
        <w:jc w:val="both"/>
        <w:rPr>
          <w:rFonts w:ascii="Times New Roman" w:hAnsi="Times New Roman"/>
        </w:rPr>
      </w:pPr>
      <w:r w:rsidRPr="00A36643">
        <w:rPr>
          <w:rFonts w:ascii="Times New Roman" w:hAnsi="Times New Roman"/>
        </w:rPr>
        <w:t>Đơn vị sử dụng trong kế toán là tiền đồng Việt Nam và báo cáo tài chính được trình bày theo đơn vị đồng Việt Nam (“VN</w:t>
      </w:r>
      <w:r w:rsidR="008755B4" w:rsidRPr="00A36643">
        <w:rPr>
          <w:rFonts w:ascii="Times New Roman" w:hAnsi="Times New Roman"/>
        </w:rPr>
        <w:t>Đ</w:t>
      </w:r>
      <w:r w:rsidRPr="00A36643">
        <w:rPr>
          <w:rFonts w:ascii="Times New Roman" w:hAnsi="Times New Roman"/>
        </w:rPr>
        <w:t>”).</w:t>
      </w:r>
    </w:p>
    <w:p w14:paraId="1B2E895D" w14:textId="0E02770C" w:rsidR="00721845" w:rsidRPr="00721845" w:rsidRDefault="00721845" w:rsidP="00232121">
      <w:pPr>
        <w:spacing w:before="120" w:after="120"/>
        <w:ind w:left="709"/>
        <w:jc w:val="both"/>
        <w:rPr>
          <w:rFonts w:ascii="Times New Roman" w:eastAsia="Times New Roman" w:hAnsi="Times New Roman"/>
          <w:i/>
          <w:iCs/>
        </w:rPr>
      </w:pPr>
      <w:r>
        <w:rPr>
          <w:rFonts w:ascii="Times New Roman" w:hAnsi="Times New Roman"/>
          <w:i/>
          <w:iCs/>
        </w:rPr>
        <w:t xml:space="preserve">The </w:t>
      </w:r>
      <w:r w:rsidR="00CF30E3">
        <w:rPr>
          <w:rFonts w:ascii="Times New Roman" w:hAnsi="Times New Roman"/>
          <w:i/>
          <w:iCs/>
        </w:rPr>
        <w:t>Fund’s financial statements are presented in Vietnamese Dong, which is also the Fund’s accounting currency.</w:t>
      </w:r>
    </w:p>
    <w:p w14:paraId="556B107A" w14:textId="0F9DCE8B" w:rsidR="0021456D" w:rsidRDefault="0021456D" w:rsidP="00232121">
      <w:pPr>
        <w:numPr>
          <w:ilvl w:val="0"/>
          <w:numId w:val="2"/>
        </w:numPr>
        <w:spacing w:before="120" w:after="120"/>
        <w:ind w:left="709" w:hanging="709"/>
        <w:jc w:val="both"/>
        <w:rPr>
          <w:rFonts w:ascii="Times New Roman" w:eastAsia="Times New Roman" w:hAnsi="Times New Roman"/>
          <w:b/>
          <w:bCs/>
        </w:rPr>
      </w:pPr>
      <w:r w:rsidRPr="00A36643">
        <w:rPr>
          <w:rFonts w:ascii="Times New Roman" w:eastAsia="Times New Roman" w:hAnsi="Times New Roman"/>
          <w:b/>
          <w:bCs/>
        </w:rPr>
        <w:t>Chuẩn mực và chế độ kế toán áp dụng</w:t>
      </w:r>
    </w:p>
    <w:p w14:paraId="34097367" w14:textId="6A97F104" w:rsidR="00CF30E3" w:rsidRPr="00CF30E3" w:rsidRDefault="00CF30E3" w:rsidP="00CF30E3">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Accounting standards and applicable reporting framework</w:t>
      </w:r>
    </w:p>
    <w:p w14:paraId="0763EF51" w14:textId="62061F9C"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Tuyên bố về việc tuân thủ Chuẩn mực kế toán và chế độ kế toán</w:t>
      </w:r>
    </w:p>
    <w:p w14:paraId="1FF798DD" w14:textId="11D405B2" w:rsidR="00CF30E3" w:rsidRPr="00CF30E3" w:rsidRDefault="00CF30E3" w:rsidP="00CF30E3">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Acknowledgement of compliance of Accounting standards and reporting framework</w:t>
      </w:r>
    </w:p>
    <w:p w14:paraId="1FE0A57C" w14:textId="35F8D418" w:rsidR="004A57F9" w:rsidRDefault="004916F2" w:rsidP="00232121">
      <w:pPr>
        <w:pStyle w:val="ListParagraph"/>
        <w:tabs>
          <w:tab w:val="left" w:pos="0"/>
        </w:tabs>
        <w:spacing w:before="120" w:after="120"/>
        <w:ind w:left="709"/>
        <w:contextualSpacing w:val="0"/>
        <w:jc w:val="both"/>
        <w:rPr>
          <w:rFonts w:ascii="Times New Roman" w:hAnsi="Times New Roman"/>
        </w:rPr>
      </w:pPr>
      <w:r w:rsidRPr="00A36643">
        <w:rPr>
          <w:rFonts w:ascii="Times New Roman" w:hAnsi="Times New Roman"/>
        </w:rPr>
        <w:t>Báo cáo tài chính của Quỹ được lập theo các Chuẩn mực Kế toán Việt Nam, chế độ kế toán Quỹ mở theo quy định tại Thông tư số 198/2012/TT-BTC (“Thông tư 198</w:t>
      </w:r>
      <w:r w:rsidR="001106C7" w:rsidRPr="00A36643">
        <w:rPr>
          <w:rFonts w:ascii="Times New Roman" w:hAnsi="Times New Roman"/>
        </w:rPr>
        <w:t>/2012/TT-BTC</w:t>
      </w:r>
      <w:r w:rsidRPr="00A36643">
        <w:rPr>
          <w:rFonts w:ascii="Times New Roman" w:hAnsi="Times New Roman"/>
        </w:rPr>
        <w:t>”) ngày 15 tháng 11 năm 2012 về chế độ kế toán áp dụng đối với Quỹ mở, Thông tư 181/2015/TT-BTC (“Thông tư 181</w:t>
      </w:r>
      <w:r w:rsidR="001106C7" w:rsidRPr="00A36643">
        <w:rPr>
          <w:rFonts w:ascii="Times New Roman" w:hAnsi="Times New Roman"/>
        </w:rPr>
        <w:t>/2015/TT-BTC</w:t>
      </w:r>
      <w:r w:rsidRPr="00A36643">
        <w:rPr>
          <w:rFonts w:ascii="Times New Roman" w:hAnsi="Times New Roman"/>
        </w:rPr>
        <w:t>”) do Bộ Tài chính ban hành ngày 13 tháng 11 năm 2015 về chế độ kế toán áp dụng đối với Quỹ hoán đổi danh mục và Quỹ mở, Thông tư số 98/2020/TT-BTC (“Thông tư 98</w:t>
      </w:r>
      <w:r w:rsidR="001106C7" w:rsidRPr="00A36643">
        <w:rPr>
          <w:rFonts w:ascii="Times New Roman" w:hAnsi="Times New Roman"/>
        </w:rPr>
        <w:t>/2020/TT-BTC</w:t>
      </w:r>
      <w:r w:rsidRPr="00A36643">
        <w:rPr>
          <w:rFonts w:ascii="Times New Roman" w:hAnsi="Times New Roman"/>
        </w:rPr>
        <w:t>”) ngày 16 tháng 11 năm 2020 của Bộ trưởng Bộ Tài Chính về hướng dẫn hoạt động và quản lý quỹ đầu tư chứng khoán và các quy định có liên quan đến việc lập và trình bày báo cáo tài chính.</w:t>
      </w:r>
    </w:p>
    <w:p w14:paraId="142D73B7" w14:textId="3AB56C7F" w:rsidR="00CF30E3" w:rsidRPr="00CF30E3" w:rsidRDefault="00CF30E3" w:rsidP="00CF30E3">
      <w:pPr>
        <w:spacing w:before="120" w:after="120"/>
        <w:ind w:left="709"/>
        <w:jc w:val="both"/>
        <w:rPr>
          <w:rFonts w:ascii="Times New Roman" w:hAnsi="Times New Roman"/>
          <w:i/>
          <w:iCs/>
        </w:rPr>
      </w:pPr>
      <w:r>
        <w:rPr>
          <w:rFonts w:ascii="Times New Roman" w:hAnsi="Times New Roman"/>
          <w:i/>
          <w:iCs/>
        </w:rPr>
        <w:t xml:space="preserve">The Fund’s financial statements </w:t>
      </w:r>
      <w:r w:rsidRPr="00CF30E3">
        <w:rPr>
          <w:rFonts w:ascii="Times New Roman" w:hAnsi="Times New Roman"/>
          <w:i/>
          <w:iCs/>
        </w:rPr>
        <w:t>have been prepared in accordance with Vietnamese Accounting Standards, Vietnamese Accounting System applicable to open-ended investment funds including Circular 198/2012/TT-BTC issued by the Ministry of Finance dated 15 November 2012 on the promulgation of accounting system for open-ended investment funds (“Circular 198/2012/TT-BTC”), Circular 181/2015/TT-BTC issued by the Ministry of Finance dated 13 November 2015 on the promulgation of accounting system for exchange-traded funds and open-ended investment funds (“Circular 181/2015/TT-BTC”), Circular 98/2020/TT-BTC issued by the Ministry of Finance on 16 November 2020 on the operation and management of securities investment funds (“Circular 98/2020/TT-BTC”) and prevailing regulations on preparation and presentation of financial statements.</w:t>
      </w:r>
    </w:p>
    <w:p w14:paraId="08393C39" w14:textId="5D100D31"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lastRenderedPageBreak/>
        <w:t>Hình thức sổ kế toán áp dụng</w:t>
      </w:r>
    </w:p>
    <w:p w14:paraId="4BD6EE76" w14:textId="170D77A0"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Registered accounting documentation system</w:t>
      </w:r>
    </w:p>
    <w:p w14:paraId="16C816B3" w14:textId="7AB2FE7A" w:rsidR="0021456D" w:rsidRDefault="0088660F" w:rsidP="00232121">
      <w:pPr>
        <w:keepNext/>
        <w:keepLines/>
        <w:spacing w:before="120" w:after="120"/>
        <w:ind w:left="709"/>
        <w:jc w:val="both"/>
        <w:rPr>
          <w:rFonts w:ascii="Times New Roman" w:eastAsia="Times New Roman" w:hAnsi="Times New Roman"/>
        </w:rPr>
      </w:pPr>
      <w:r w:rsidRPr="00A36643">
        <w:rPr>
          <w:rFonts w:ascii="Times New Roman" w:eastAsia="Times New Roman" w:hAnsi="Times New Roman"/>
        </w:rPr>
        <w:t xml:space="preserve">Quỹ áp dụng </w:t>
      </w:r>
      <w:r w:rsidR="00642762" w:rsidRPr="00A36643">
        <w:rPr>
          <w:rFonts w:ascii="Times New Roman" w:eastAsia="Times New Roman" w:hAnsi="Times New Roman"/>
        </w:rPr>
        <w:t>hình thức kế toán Nhật ký Chung.</w:t>
      </w:r>
    </w:p>
    <w:p w14:paraId="3FD987DB" w14:textId="55022F47" w:rsidR="002638C0" w:rsidRPr="002638C0" w:rsidRDefault="002638C0" w:rsidP="00232121">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The registered accounting documentation system is the general journal system.</w:t>
      </w:r>
    </w:p>
    <w:p w14:paraId="151B8927" w14:textId="4FDC8E4F" w:rsidR="0021456D" w:rsidRDefault="0021456D" w:rsidP="00232121">
      <w:pPr>
        <w:numPr>
          <w:ilvl w:val="0"/>
          <w:numId w:val="2"/>
        </w:numPr>
        <w:spacing w:before="120" w:after="120"/>
        <w:ind w:left="709" w:hanging="709"/>
        <w:jc w:val="both"/>
        <w:rPr>
          <w:rFonts w:ascii="Times New Roman" w:eastAsia="Times New Roman" w:hAnsi="Times New Roman"/>
          <w:b/>
          <w:bCs/>
        </w:rPr>
      </w:pPr>
      <w:r w:rsidRPr="00A36643">
        <w:rPr>
          <w:rFonts w:ascii="Times New Roman" w:eastAsia="Times New Roman" w:hAnsi="Times New Roman"/>
          <w:b/>
          <w:bCs/>
        </w:rPr>
        <w:t>Các chính sách kế toán áp dụng</w:t>
      </w:r>
    </w:p>
    <w:p w14:paraId="5B4C4C88" w14:textId="3729DC56" w:rsidR="002638C0" w:rsidRPr="002638C0" w:rsidRDefault="002638C0" w:rsidP="002638C0">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Applicable accounting policies</w:t>
      </w:r>
    </w:p>
    <w:p w14:paraId="5C695284" w14:textId="5BF68EEE" w:rsidR="00F42994"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Tiền gửi ngân hàng và các khoản tương đương tiền</w:t>
      </w:r>
    </w:p>
    <w:p w14:paraId="1CD62970" w14:textId="4F48336A"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Cash and cash equivalents</w:t>
      </w:r>
    </w:p>
    <w:p w14:paraId="4F8F7861" w14:textId="1FE94EE3" w:rsidR="0006232A" w:rsidRDefault="00CC5D00" w:rsidP="00232121">
      <w:pPr>
        <w:spacing w:before="120" w:after="120"/>
        <w:ind w:left="709"/>
        <w:jc w:val="both"/>
        <w:rPr>
          <w:rFonts w:ascii="Times New Roman" w:eastAsia="Times New Roman" w:hAnsi="Times New Roman"/>
        </w:rPr>
      </w:pPr>
      <w:r w:rsidRPr="00A36643">
        <w:rPr>
          <w:rFonts w:ascii="Times New Roman" w:eastAsia="Times New Roman" w:hAnsi="Times New Roman"/>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các khoản đầu tư ngắn hạn không quá ba (3) tháng có khả năng chuyển đổi dễ dàng thành tiền và không có nhiều rủi ro trong chuyển đổi thành tiền kể từ ngày mua khoản đầu tư đó tại thời điểm báo cáo</w:t>
      </w:r>
      <w:r w:rsidR="002E5B4A" w:rsidRPr="00A36643">
        <w:rPr>
          <w:rFonts w:ascii="Times New Roman" w:eastAsia="Times New Roman" w:hAnsi="Times New Roman"/>
        </w:rPr>
        <w:t>.</w:t>
      </w:r>
    </w:p>
    <w:p w14:paraId="54842B16" w14:textId="3C884829" w:rsidR="002638C0" w:rsidRPr="002638C0" w:rsidRDefault="002638C0" w:rsidP="002638C0">
      <w:pPr>
        <w:keepNext/>
        <w:keepLines/>
        <w:spacing w:before="120" w:after="120"/>
        <w:ind w:left="709"/>
        <w:jc w:val="both"/>
        <w:rPr>
          <w:rFonts w:ascii="Times New Roman" w:eastAsia="Times New Roman" w:hAnsi="Times New Roman"/>
          <w:i/>
          <w:iCs/>
        </w:rPr>
      </w:pPr>
      <w:r w:rsidRPr="002638C0">
        <w:rPr>
          <w:rFonts w:ascii="Times New Roman" w:eastAsia="Times New Roman" w:hAnsi="Times New Roman"/>
          <w:i/>
          <w:iCs/>
        </w:rPr>
        <w:t>Cash and cash equivalents comprise cash at bank in current accounts used for the Fund’s operations</w:t>
      </w:r>
      <w:r w:rsidR="00D24143">
        <w:rPr>
          <w:rFonts w:ascii="Times New Roman" w:eastAsia="Times New Roman" w:hAnsi="Times New Roman"/>
          <w:i/>
          <w:iCs/>
        </w:rPr>
        <w:t xml:space="preserve">, </w:t>
      </w:r>
      <w:r w:rsidR="00D24143" w:rsidRPr="002638C0">
        <w:rPr>
          <w:rFonts w:ascii="Times New Roman" w:eastAsia="Times New Roman" w:hAnsi="Times New Roman"/>
          <w:i/>
          <w:iCs/>
        </w:rPr>
        <w:t xml:space="preserve">cash of fund unitholders deposited for subscription for fund </w:t>
      </w:r>
      <w:r w:rsidR="00D24143">
        <w:rPr>
          <w:rFonts w:ascii="Times New Roman" w:eastAsia="Times New Roman" w:hAnsi="Times New Roman"/>
          <w:i/>
          <w:iCs/>
        </w:rPr>
        <w:t xml:space="preserve">units, </w:t>
      </w:r>
      <w:r w:rsidRPr="002638C0">
        <w:rPr>
          <w:rFonts w:ascii="Times New Roman" w:eastAsia="Times New Roman" w:hAnsi="Times New Roman"/>
          <w:i/>
          <w:iCs/>
        </w:rPr>
        <w:t xml:space="preserve">payment to fund unitholders for redemption of fund </w:t>
      </w:r>
      <w:r w:rsidR="00D24143">
        <w:rPr>
          <w:rFonts w:ascii="Times New Roman" w:eastAsia="Times New Roman" w:hAnsi="Times New Roman"/>
          <w:i/>
          <w:iCs/>
        </w:rPr>
        <w:t>units</w:t>
      </w:r>
      <w:r w:rsidRPr="002638C0">
        <w:rPr>
          <w:rFonts w:ascii="Times New Roman" w:eastAsia="Times New Roman" w:hAnsi="Times New Roman"/>
          <w:i/>
          <w:iCs/>
        </w:rPr>
        <w:t>,</w:t>
      </w:r>
      <w:r w:rsidR="00D24143">
        <w:rPr>
          <w:rFonts w:ascii="Times New Roman" w:eastAsia="Times New Roman" w:hAnsi="Times New Roman"/>
          <w:i/>
          <w:iCs/>
        </w:rPr>
        <w:t xml:space="preserve"> </w:t>
      </w:r>
      <w:r w:rsidRPr="002638C0">
        <w:rPr>
          <w:rFonts w:ascii="Times New Roman" w:eastAsia="Times New Roman" w:hAnsi="Times New Roman"/>
          <w:i/>
          <w:iCs/>
        </w:rPr>
        <w:t xml:space="preserve">cash at bank in escrow account for the initial subscription for the fund </w:t>
      </w:r>
      <w:r w:rsidR="00D24143">
        <w:rPr>
          <w:rFonts w:ascii="Times New Roman" w:eastAsia="Times New Roman" w:hAnsi="Times New Roman"/>
          <w:i/>
          <w:iCs/>
        </w:rPr>
        <w:t>units</w:t>
      </w:r>
      <w:r w:rsidRPr="002638C0">
        <w:rPr>
          <w:rFonts w:ascii="Times New Roman" w:eastAsia="Times New Roman" w:hAnsi="Times New Roman"/>
          <w:i/>
          <w:iCs/>
        </w:rPr>
        <w:t xml:space="preserve"> and other short-term investments with original maturity not exceeding three (3) months which are liquid and are readily convertible to cash and subject to an insignificant risk of conversion</w:t>
      </w:r>
      <w:r w:rsidR="00D24143">
        <w:rPr>
          <w:rFonts w:ascii="Times New Roman" w:eastAsia="Times New Roman" w:hAnsi="Times New Roman"/>
          <w:i/>
          <w:iCs/>
        </w:rPr>
        <w:t xml:space="preserve"> from the investment date to the reporting date</w:t>
      </w:r>
      <w:r w:rsidRPr="002638C0">
        <w:rPr>
          <w:rFonts w:ascii="Times New Roman" w:eastAsia="Times New Roman" w:hAnsi="Times New Roman"/>
          <w:i/>
          <w:iCs/>
        </w:rPr>
        <w:t>.</w:t>
      </w:r>
    </w:p>
    <w:p w14:paraId="4E0A06B1" w14:textId="1F02CAF0" w:rsidR="00F42994" w:rsidRDefault="000479C4" w:rsidP="00232121">
      <w:pPr>
        <w:pStyle w:val="ListParagraph"/>
        <w:numPr>
          <w:ilvl w:val="1"/>
          <w:numId w:val="2"/>
        </w:numPr>
        <w:spacing w:before="120" w:after="120"/>
        <w:ind w:left="706" w:hanging="709"/>
        <w:contextualSpacing w:val="0"/>
        <w:jc w:val="both"/>
        <w:rPr>
          <w:rFonts w:ascii="Times New Roman" w:eastAsia="Times New Roman" w:hAnsi="Times New Roman"/>
          <w:b/>
          <w:bCs/>
        </w:rPr>
      </w:pPr>
      <w:r w:rsidRPr="00A36643">
        <w:rPr>
          <w:rFonts w:ascii="Times New Roman" w:hAnsi="Times New Roman"/>
          <w:b/>
          <w:bCs/>
          <w:iCs/>
          <w:lang w:val="nl-NL"/>
        </w:rPr>
        <w:t>Các khoản đầu tư</w:t>
      </w:r>
    </w:p>
    <w:p w14:paraId="4930119C" w14:textId="5131D31E" w:rsidR="00D24143" w:rsidRPr="00D24143" w:rsidRDefault="00D24143" w:rsidP="00D24143">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Investments</w:t>
      </w:r>
    </w:p>
    <w:p w14:paraId="2026CAA2" w14:textId="7926CA6F" w:rsidR="00176BDD" w:rsidRPr="00D24143" w:rsidRDefault="0021456D" w:rsidP="00232121">
      <w:pPr>
        <w:numPr>
          <w:ilvl w:val="0"/>
          <w:numId w:val="3"/>
        </w:numPr>
        <w:tabs>
          <w:tab w:val="left" w:pos="284"/>
        </w:tabs>
        <w:spacing w:before="120" w:after="120"/>
        <w:ind w:left="706" w:firstLine="0"/>
        <w:jc w:val="both"/>
        <w:rPr>
          <w:rFonts w:ascii="Times New Roman" w:eastAsia="Times New Roman" w:hAnsi="Times New Roman"/>
          <w:lang w:val="nl-NL"/>
        </w:rPr>
      </w:pPr>
      <w:r w:rsidRPr="00A36643">
        <w:rPr>
          <w:rFonts w:ascii="Times New Roman" w:eastAsia="Times New Roman" w:hAnsi="Times New Roman"/>
          <w:b/>
          <w:bCs/>
          <w:i/>
        </w:rPr>
        <w:t>Nguyên tắc phân loại:</w:t>
      </w:r>
    </w:p>
    <w:p w14:paraId="6030F40A" w14:textId="5C9BA402" w:rsidR="00D24143" w:rsidRPr="00A36643" w:rsidRDefault="00D24143" w:rsidP="00D24143">
      <w:pPr>
        <w:tabs>
          <w:tab w:val="left" w:pos="284"/>
        </w:tabs>
        <w:spacing w:before="120" w:after="120"/>
        <w:ind w:left="706"/>
        <w:jc w:val="both"/>
        <w:rPr>
          <w:rFonts w:ascii="Times New Roman" w:eastAsia="Times New Roman" w:hAnsi="Times New Roman"/>
          <w:lang w:val="nl-NL"/>
        </w:rPr>
      </w:pPr>
      <w:r>
        <w:rPr>
          <w:rFonts w:ascii="Times New Roman" w:eastAsia="Times New Roman" w:hAnsi="Times New Roman"/>
          <w:b/>
          <w:bCs/>
          <w:i/>
        </w:rPr>
        <w:tab/>
      </w:r>
      <w:r>
        <w:rPr>
          <w:rFonts w:ascii="Times New Roman" w:eastAsia="Times New Roman" w:hAnsi="Times New Roman"/>
          <w:b/>
          <w:bCs/>
          <w:i/>
        </w:rPr>
        <w:tab/>
        <w:t>Classification:</w:t>
      </w:r>
    </w:p>
    <w:p w14:paraId="769690A0" w14:textId="59EFC20F" w:rsidR="001C34D4" w:rsidRDefault="0021456D" w:rsidP="00176BDD">
      <w:pPr>
        <w:tabs>
          <w:tab w:val="left" w:pos="284"/>
        </w:tabs>
        <w:spacing w:before="120" w:after="120"/>
        <w:ind w:left="706"/>
        <w:jc w:val="both"/>
        <w:rPr>
          <w:rFonts w:ascii="Times New Roman" w:eastAsia="Times New Roman" w:hAnsi="Times New Roman"/>
          <w:lang w:val="nl-NL"/>
        </w:rPr>
      </w:pPr>
      <w:r w:rsidRPr="00A36643">
        <w:rPr>
          <w:rFonts w:ascii="Times New Roman" w:eastAsia="Times New Roman" w:hAnsi="Times New Roman"/>
          <w:lang w:val="nl-NL"/>
        </w:rPr>
        <w:t>Quỹ phân loại các chứng khoán được mua với mục đích kinh doanh là chứng khoán kinh doanh.</w:t>
      </w:r>
    </w:p>
    <w:p w14:paraId="5DF4916A" w14:textId="7F08A764" w:rsidR="00D24143" w:rsidRPr="00D24143" w:rsidRDefault="00D24143" w:rsidP="00D24143">
      <w:pPr>
        <w:keepNext/>
        <w:keepLines/>
        <w:spacing w:before="120" w:after="120"/>
        <w:ind w:left="709"/>
        <w:jc w:val="both"/>
        <w:rPr>
          <w:rFonts w:ascii="Times New Roman" w:eastAsia="Times New Roman" w:hAnsi="Times New Roman"/>
          <w:i/>
          <w:iCs/>
        </w:rPr>
      </w:pPr>
      <w:r w:rsidRPr="00D24143">
        <w:rPr>
          <w:rFonts w:ascii="Times New Roman" w:eastAsia="Times New Roman" w:hAnsi="Times New Roman"/>
          <w:i/>
          <w:iCs/>
        </w:rPr>
        <w:t>The Fund classifies its investments in securities as trading securities</w:t>
      </w:r>
      <w:r>
        <w:rPr>
          <w:rFonts w:ascii="Times New Roman" w:eastAsia="Times New Roman" w:hAnsi="Times New Roman"/>
          <w:i/>
          <w:iCs/>
        </w:rPr>
        <w:t>.</w:t>
      </w:r>
    </w:p>
    <w:p w14:paraId="0937526C" w14:textId="0A0AB2EC" w:rsidR="001C34D4" w:rsidRDefault="00E206A0" w:rsidP="00232121">
      <w:pPr>
        <w:numPr>
          <w:ilvl w:val="0"/>
          <w:numId w:val="3"/>
        </w:numPr>
        <w:tabs>
          <w:tab w:val="left" w:pos="284"/>
        </w:tabs>
        <w:spacing w:before="120" w:after="120"/>
        <w:ind w:left="706" w:firstLine="0"/>
        <w:jc w:val="both"/>
        <w:rPr>
          <w:rFonts w:ascii="Times New Roman" w:eastAsia="Times New Roman" w:hAnsi="Times New Roman"/>
          <w:b/>
          <w:i/>
          <w:lang w:val="nl-NL"/>
        </w:rPr>
      </w:pPr>
      <w:r w:rsidRPr="00A36643">
        <w:rPr>
          <w:rFonts w:ascii="Times New Roman" w:eastAsia="Times New Roman" w:hAnsi="Times New Roman"/>
          <w:b/>
          <w:i/>
          <w:lang w:val="nl-NL"/>
        </w:rPr>
        <w:t>Ghi nhận</w:t>
      </w:r>
      <w:r w:rsidR="00176BDD" w:rsidRPr="00A36643">
        <w:rPr>
          <w:rFonts w:ascii="Times New Roman" w:eastAsia="Times New Roman" w:hAnsi="Times New Roman"/>
          <w:b/>
          <w:i/>
          <w:lang w:val="nl-NL"/>
        </w:rPr>
        <w:t>/chấm dứt ghi nhận</w:t>
      </w:r>
    </w:p>
    <w:p w14:paraId="577ECA7F" w14:textId="155C3EEA" w:rsidR="00D24143" w:rsidRPr="00A36643" w:rsidRDefault="00D24143" w:rsidP="00D24143">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Recognition/de-recognition</w:t>
      </w:r>
    </w:p>
    <w:p w14:paraId="77359EC8" w14:textId="414C5D33"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Việc mua và bán các khoản đầu tư được ghi nhận theo ngày thực hiện giao dịch - 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w:t>
      </w:r>
    </w:p>
    <w:p w14:paraId="29A04113" w14:textId="7D69C563" w:rsidR="00D24143" w:rsidRPr="00BC2342" w:rsidRDefault="00BC2342" w:rsidP="00BC2342">
      <w:pPr>
        <w:keepNext/>
        <w:keepLines/>
        <w:spacing w:before="120" w:after="120"/>
        <w:ind w:left="709"/>
        <w:jc w:val="both"/>
        <w:rPr>
          <w:rFonts w:ascii="Times New Roman" w:eastAsia="Times New Roman" w:hAnsi="Times New Roman"/>
          <w:i/>
          <w:iCs/>
        </w:rPr>
      </w:pPr>
      <w:r w:rsidRPr="00BC2342">
        <w:rPr>
          <w:rFonts w:ascii="Times New Roman" w:eastAsia="Times New Roman" w:hAnsi="Times New Roman"/>
          <w:i/>
          <w:iCs/>
        </w:rPr>
        <w:t>Purchases and sales of investments are recognised at trade date – the day on which the Fund commits to purchase or sell those investments. Investments are derecognised when the right to receive cash flows from the investments has expired or the Fund has transferred substantially all risks and rewards of ownership of the investments.</w:t>
      </w:r>
    </w:p>
    <w:p w14:paraId="0906F556" w14:textId="5DC667B1" w:rsidR="00752B18" w:rsidRDefault="00E206A0" w:rsidP="00232121">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 xml:space="preserve">Ghi nhận </w:t>
      </w:r>
      <w:r w:rsidR="00176BDD" w:rsidRPr="00A36643">
        <w:rPr>
          <w:rFonts w:ascii="Times New Roman" w:eastAsia="Times New Roman" w:hAnsi="Times New Roman"/>
          <w:b/>
          <w:i/>
          <w:lang w:val="nl-NL"/>
        </w:rPr>
        <w:t>ban đầu và đánh giá lại</w:t>
      </w:r>
    </w:p>
    <w:p w14:paraId="1F84CD8A" w14:textId="2071B0AC" w:rsidR="00BC2342" w:rsidRPr="00A36643" w:rsidRDefault="00BC2342" w:rsidP="00BC2342">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Initial recognition and subsequent measurement</w:t>
      </w:r>
    </w:p>
    <w:p w14:paraId="0084C695" w14:textId="175E9EBB"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Các khoản đầu tư được ghi nhận ban đầu theo giá mua và được đánh giá lại tại ngày lập báo cáo tài chính theo Thông tư 198/2012/TT-BTC theo giá trị của các khoản đầu tư tại ngày lập báo cáo tài chính. Phương pháp đánh giá lại các khoản đầu tư được quy định trong Sổ tay Định giá được xây dựng phù hợp với phương pháp xác định giá trị tài sản quy định tại Điều lệ Quỹ.</w:t>
      </w:r>
    </w:p>
    <w:p w14:paraId="23FC31C5" w14:textId="06081A8D" w:rsidR="00BC2342" w:rsidRPr="00BC2342" w:rsidRDefault="00BC2342" w:rsidP="00841B96">
      <w:pPr>
        <w:keepNext/>
        <w:keepLines/>
        <w:spacing w:before="120" w:after="120"/>
        <w:ind w:left="709"/>
        <w:jc w:val="both"/>
        <w:rPr>
          <w:rFonts w:ascii="Times New Roman" w:eastAsia="Times New Roman" w:hAnsi="Times New Roman"/>
        </w:rPr>
      </w:pPr>
      <w:r w:rsidRPr="00BC2342">
        <w:rPr>
          <w:rFonts w:ascii="Times New Roman" w:eastAsia="Times New Roman" w:hAnsi="Times New Roman"/>
          <w:i/>
          <w:iCs/>
        </w:rPr>
        <w:lastRenderedPageBreak/>
        <w:t xml:space="preserve">Investments are initially recognised at the cost of acquisition and revalued as at the reporting date in accordance with Circular 198/2012/TT-BTC using market prices of investments on the reporting date. Valuation is </w:t>
      </w:r>
      <w:r w:rsidR="00B718E8">
        <w:rPr>
          <w:rFonts w:ascii="Times New Roman" w:eastAsia="Times New Roman" w:hAnsi="Times New Roman"/>
          <w:i/>
          <w:iCs/>
        </w:rPr>
        <w:t xml:space="preserve">stipulated in the </w:t>
      </w:r>
      <w:r>
        <w:rPr>
          <w:rFonts w:ascii="Times New Roman" w:eastAsia="Times New Roman" w:hAnsi="Times New Roman"/>
          <w:i/>
          <w:iCs/>
        </w:rPr>
        <w:t xml:space="preserve">Valuation </w:t>
      </w:r>
      <w:r w:rsidR="00B718E8">
        <w:rPr>
          <w:rFonts w:ascii="Times New Roman" w:eastAsia="Times New Roman" w:hAnsi="Times New Roman"/>
          <w:i/>
          <w:iCs/>
        </w:rPr>
        <w:t>Handbook</w:t>
      </w:r>
      <w:r w:rsidRPr="00BC2342">
        <w:rPr>
          <w:rFonts w:ascii="Times New Roman" w:eastAsia="Times New Roman" w:hAnsi="Times New Roman"/>
          <w:i/>
          <w:iCs/>
        </w:rPr>
        <w:t xml:space="preserve"> </w:t>
      </w:r>
      <w:r w:rsidR="00B718E8">
        <w:rPr>
          <w:rFonts w:ascii="Times New Roman" w:eastAsia="Times New Roman" w:hAnsi="Times New Roman"/>
          <w:i/>
          <w:iCs/>
        </w:rPr>
        <w:t xml:space="preserve">which is </w:t>
      </w:r>
      <w:r w:rsidR="00CD4F7B">
        <w:rPr>
          <w:rFonts w:ascii="Times New Roman" w:eastAsia="Times New Roman" w:hAnsi="Times New Roman"/>
          <w:i/>
          <w:iCs/>
        </w:rPr>
        <w:t xml:space="preserve">developed </w:t>
      </w:r>
      <w:r w:rsidR="005B4193">
        <w:rPr>
          <w:rFonts w:ascii="Times New Roman" w:eastAsia="Times New Roman" w:hAnsi="Times New Roman"/>
          <w:i/>
          <w:iCs/>
        </w:rPr>
        <w:t>in compliance with the valuation methods</w:t>
      </w:r>
      <w:r w:rsidR="00841B96">
        <w:rPr>
          <w:rFonts w:ascii="Times New Roman" w:eastAsia="Times New Roman" w:hAnsi="Times New Roman"/>
          <w:i/>
          <w:iCs/>
        </w:rPr>
        <w:t xml:space="preserve"> set out in</w:t>
      </w:r>
      <w:r w:rsidR="005B4193">
        <w:rPr>
          <w:rFonts w:ascii="Times New Roman" w:eastAsia="Times New Roman" w:hAnsi="Times New Roman"/>
          <w:i/>
          <w:iCs/>
        </w:rPr>
        <w:t xml:space="preserve"> </w:t>
      </w:r>
      <w:r w:rsidRPr="00BC2342">
        <w:rPr>
          <w:rFonts w:ascii="Times New Roman" w:eastAsia="Times New Roman" w:hAnsi="Times New Roman"/>
          <w:i/>
          <w:iCs/>
        </w:rPr>
        <w:t>the Fund Charter.</w:t>
      </w:r>
    </w:p>
    <w:p w14:paraId="41F2D831" w14:textId="2DA5E5C1"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p>
    <w:p w14:paraId="506BF959" w14:textId="45E14F5B" w:rsidR="00BC2342" w:rsidRPr="00841B96" w:rsidRDefault="00841B96" w:rsidP="00841B96">
      <w:pPr>
        <w:keepNext/>
        <w:keepLines/>
        <w:spacing w:before="120" w:after="120"/>
        <w:ind w:left="709"/>
        <w:jc w:val="both"/>
        <w:rPr>
          <w:rFonts w:ascii="Times New Roman" w:eastAsia="Times New Roman" w:hAnsi="Times New Roman"/>
          <w:i/>
          <w:iCs/>
        </w:rPr>
      </w:pPr>
      <w:r w:rsidRPr="00841B96">
        <w:rPr>
          <w:rFonts w:ascii="Times New Roman" w:eastAsia="Times New Roman" w:hAnsi="Times New Roman"/>
          <w:i/>
          <w:iCs/>
        </w:rPr>
        <w:t>B</w:t>
      </w:r>
      <w:r w:rsidR="00BC2342" w:rsidRPr="00841B96">
        <w:rPr>
          <w:rFonts w:ascii="Times New Roman" w:eastAsia="Times New Roman" w:hAnsi="Times New Roman"/>
          <w:i/>
          <w:iCs/>
        </w:rPr>
        <w:t xml:space="preserve">onus issues and stock dividends are initially recorded as investments at nil cost and then are revalued at the market value of underlying securities as at the date of the </w:t>
      </w:r>
      <w:r w:rsidRPr="00841B96">
        <w:rPr>
          <w:rFonts w:ascii="Times New Roman" w:eastAsia="Times New Roman" w:hAnsi="Times New Roman"/>
          <w:i/>
          <w:iCs/>
        </w:rPr>
        <w:t xml:space="preserve">financial </w:t>
      </w:r>
      <w:r w:rsidR="00BC2342" w:rsidRPr="00841B96">
        <w:rPr>
          <w:rFonts w:ascii="Times New Roman" w:eastAsia="Times New Roman" w:hAnsi="Times New Roman"/>
          <w:i/>
          <w:iCs/>
        </w:rPr>
        <w:t>statement</w:t>
      </w:r>
      <w:r>
        <w:rPr>
          <w:rFonts w:ascii="Times New Roman" w:eastAsia="Times New Roman" w:hAnsi="Times New Roman"/>
          <w:i/>
          <w:iCs/>
        </w:rPr>
        <w:t>s</w:t>
      </w:r>
      <w:r w:rsidR="00BC2342" w:rsidRPr="00841B96">
        <w:rPr>
          <w:rFonts w:ascii="Times New Roman" w:eastAsia="Times New Roman" w:hAnsi="Times New Roman"/>
          <w:i/>
          <w:iCs/>
        </w:rPr>
        <w:t>.</w:t>
      </w:r>
    </w:p>
    <w:p w14:paraId="7757FEA0" w14:textId="132FE2E0" w:rsidR="00176BDD" w:rsidRDefault="00176BDD" w:rsidP="00176BDD">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Lãi hoặc lỗ do đánh giá lại khoản đầu tư</w:t>
      </w:r>
    </w:p>
    <w:p w14:paraId="2F1F66F2" w14:textId="676E906B" w:rsidR="00CA5A38" w:rsidRPr="00DD604C" w:rsidRDefault="00F8472A" w:rsidP="00DD604C">
      <w:pPr>
        <w:tabs>
          <w:tab w:val="left" w:pos="284"/>
        </w:tabs>
        <w:spacing w:before="120" w:after="120"/>
        <w:ind w:left="706"/>
        <w:jc w:val="both"/>
        <w:rPr>
          <w:rFonts w:ascii="Times New Roman" w:eastAsia="Times New Roman" w:hAnsi="Times New Roman"/>
          <w:b/>
          <w:bCs/>
          <w:i/>
          <w:lang w:val="nl-NL"/>
        </w:rPr>
      </w:pPr>
      <w:r>
        <w:rPr>
          <w:rFonts w:ascii="Times New Roman" w:eastAsia="Times New Roman" w:hAnsi="Times New Roman"/>
          <w:b/>
          <w:i/>
          <w:lang w:val="nl-NL"/>
        </w:rPr>
        <w:tab/>
      </w:r>
      <w:r>
        <w:rPr>
          <w:rFonts w:ascii="Times New Roman" w:eastAsia="Times New Roman" w:hAnsi="Times New Roman"/>
          <w:b/>
          <w:i/>
          <w:lang w:val="nl-NL"/>
        </w:rPr>
        <w:tab/>
      </w:r>
      <w:r w:rsidR="00DD604C" w:rsidRPr="00DD604C">
        <w:rPr>
          <w:rFonts w:ascii="Times New Roman" w:eastAsia="Times New Roman" w:hAnsi="Times New Roman"/>
          <w:b/>
          <w:bCs/>
          <w:i/>
          <w:lang w:val="nl-NL"/>
        </w:rPr>
        <w:t>Gain or loss from revaluation of investments</w:t>
      </w:r>
    </w:p>
    <w:p w14:paraId="75ABD44E" w14:textId="3B13C0B6" w:rsidR="00E00C8B" w:rsidRDefault="00176BDD" w:rsidP="00232121">
      <w:pPr>
        <w:spacing w:before="120" w:after="120"/>
        <w:ind w:left="706"/>
        <w:jc w:val="both"/>
        <w:rPr>
          <w:rFonts w:ascii="Times New Roman" w:hAnsi="Times New Roman"/>
          <w:lang w:val="nl-NL"/>
        </w:rPr>
      </w:pPr>
      <w:r w:rsidRPr="00A36643">
        <w:rPr>
          <w:rFonts w:ascii="Times New Roman" w:hAnsi="Times New Roman"/>
          <w:lang w:val="nl-NL"/>
        </w:rPr>
        <w:t>Các khoản lãi hoặc lỗ do đánh giá lại khoản đầu tư được ghi nhận vào báo cáo thu nhập theo quy định tại Thông tư 198/2012/TT-BTC.</w:t>
      </w:r>
    </w:p>
    <w:p w14:paraId="7FD4DD68" w14:textId="518144F2" w:rsidR="00722031" w:rsidRPr="009324B3" w:rsidRDefault="009324B3" w:rsidP="009324B3">
      <w:pPr>
        <w:keepNext/>
        <w:keepLines/>
        <w:spacing w:before="120" w:after="120"/>
        <w:ind w:left="709"/>
        <w:jc w:val="both"/>
        <w:rPr>
          <w:rFonts w:ascii="Times New Roman" w:eastAsia="Times New Roman" w:hAnsi="Times New Roman"/>
          <w:i/>
          <w:iCs/>
        </w:rPr>
      </w:pPr>
      <w:r w:rsidRPr="009324B3">
        <w:rPr>
          <w:rFonts w:ascii="Times New Roman" w:eastAsia="Times New Roman" w:hAnsi="Times New Roman"/>
          <w:i/>
          <w:iCs/>
        </w:rPr>
        <w:t>Gain or loss from revaluation of investments are recognised in the statement of income in accordance with Circular 198/2012/TT-BTC.</w:t>
      </w:r>
    </w:p>
    <w:p w14:paraId="691A4EF4" w14:textId="41529DF5" w:rsidR="00337153" w:rsidRDefault="0021456D" w:rsidP="00232121">
      <w:pPr>
        <w:pStyle w:val="ListParagraph"/>
        <w:numPr>
          <w:ilvl w:val="1"/>
          <w:numId w:val="2"/>
        </w:numPr>
        <w:spacing w:before="120" w:after="120"/>
        <w:ind w:left="706" w:hanging="706"/>
        <w:contextualSpacing w:val="0"/>
        <w:jc w:val="both"/>
        <w:rPr>
          <w:rFonts w:ascii="Times New Roman" w:eastAsia="Times New Roman" w:hAnsi="Times New Roman"/>
          <w:b/>
          <w:bCs/>
        </w:rPr>
      </w:pPr>
      <w:r w:rsidRPr="00A36643">
        <w:rPr>
          <w:rFonts w:ascii="Times New Roman" w:eastAsia="Times New Roman" w:hAnsi="Times New Roman"/>
          <w:b/>
          <w:bCs/>
        </w:rPr>
        <w:t>Các khoản phải thu</w:t>
      </w:r>
    </w:p>
    <w:p w14:paraId="1982907B" w14:textId="40ED754E" w:rsidR="00226E13" w:rsidRPr="00226E13" w:rsidRDefault="00226E13" w:rsidP="00226E13">
      <w:pPr>
        <w:pStyle w:val="ListParagraph"/>
        <w:spacing w:before="120" w:after="120"/>
        <w:ind w:left="706"/>
        <w:contextualSpacing w:val="0"/>
        <w:jc w:val="both"/>
        <w:rPr>
          <w:rFonts w:ascii="Times New Roman" w:eastAsia="Times New Roman" w:hAnsi="Times New Roman"/>
          <w:b/>
          <w:bCs/>
          <w:i/>
          <w:iCs/>
        </w:rPr>
      </w:pPr>
      <w:r w:rsidRPr="00226E13">
        <w:rPr>
          <w:rFonts w:ascii="Times New Roman" w:eastAsia="Times New Roman" w:hAnsi="Times New Roman"/>
          <w:b/>
          <w:bCs/>
          <w:i/>
          <w:iCs/>
        </w:rPr>
        <w:t>Receivables</w:t>
      </w:r>
    </w:p>
    <w:p w14:paraId="254285C6" w14:textId="0B5A7143" w:rsidR="00176BDD" w:rsidRDefault="00176BDD" w:rsidP="00BD2F2E">
      <w:pPr>
        <w:pStyle w:val="ListParagraph"/>
        <w:spacing w:before="120" w:after="120"/>
        <w:ind w:left="706"/>
        <w:contextualSpacing w:val="0"/>
        <w:jc w:val="both"/>
        <w:rPr>
          <w:rFonts w:ascii="Times New Roman" w:eastAsia="Times New Roman" w:hAnsi="Times New Roman"/>
        </w:rPr>
      </w:pPr>
      <w:r w:rsidRPr="00A36643">
        <w:rPr>
          <w:rFonts w:ascii="Times New Roman" w:eastAsia="Times New Roman" w:hAnsi="Times New Roman"/>
        </w:rPr>
        <w:t>Các khoản phải thu bao gồm những khoản phải thu từ hoạt động bán chứng khoán, phải thu cổ tức, lãi trái phiếu, lãi tiền gửi ngân hàng, lãi chứng chỉ tiền gửi có thể chuyển nhượng và các khoản phải thu khác. Các khoản phải thu được phản ánh theo nguyên giá trừ đi dự phòng phải thu khó đòi.</w:t>
      </w:r>
    </w:p>
    <w:p w14:paraId="27B7DA54" w14:textId="53000C7F" w:rsidR="00226E13" w:rsidRPr="00C60352" w:rsidRDefault="00C60352" w:rsidP="00C60352">
      <w:pPr>
        <w:keepNext/>
        <w:keepLines/>
        <w:spacing w:before="120" w:after="120"/>
        <w:ind w:left="709"/>
        <w:jc w:val="both"/>
        <w:rPr>
          <w:rFonts w:ascii="Times New Roman" w:eastAsia="Times New Roman" w:hAnsi="Times New Roman"/>
          <w:i/>
          <w:iCs/>
        </w:rPr>
      </w:pPr>
      <w:r w:rsidRPr="00C60352">
        <w:rPr>
          <w:rFonts w:ascii="Times New Roman" w:eastAsia="Times New Roman" w:hAnsi="Times New Roman"/>
          <w:i/>
          <w:iCs/>
        </w:rPr>
        <w:t>Receivables represent the amount of receivables from securities trading, dividend receivables, accrued interest from bonds, accrued interest from bank deposits, accrued interest from transferable certificates of deposit and other receivables. Receivables are carried at cost less provisions for doubtful debts.</w:t>
      </w:r>
    </w:p>
    <w:p w14:paraId="0412BAF9" w14:textId="056F90A3" w:rsidR="00176BDD" w:rsidRDefault="00176BDD" w:rsidP="00BD2F2E">
      <w:pPr>
        <w:pStyle w:val="ListParagraph"/>
        <w:spacing w:before="120" w:after="120"/>
        <w:ind w:left="706"/>
        <w:contextualSpacing w:val="0"/>
        <w:jc w:val="both"/>
        <w:rPr>
          <w:rFonts w:ascii="Times New Roman" w:hAnsi="Times New Roman"/>
          <w:lang w:val="nl-NL"/>
        </w:rPr>
      </w:pPr>
      <w:r w:rsidRPr="00A36643">
        <w:rPr>
          <w:rFonts w:ascii="Times New Roman" w:eastAsia="Times New Roman" w:hAnsi="Times New Roma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w:t>
      </w:r>
      <w:r w:rsidRPr="00A36643">
        <w:rPr>
          <w:rFonts w:ascii="Times New Roman" w:hAnsi="Times New Roman"/>
          <w:lang w:val="nl-NL"/>
        </w:rPr>
        <w:t>truy tố, xét xử hoặc đang thi hành án hoặc đã chết.</w:t>
      </w:r>
    </w:p>
    <w:p w14:paraId="240C73D7" w14:textId="654AA56D" w:rsidR="00E07CCA" w:rsidRPr="00E07CCA" w:rsidRDefault="00B34298" w:rsidP="00E07CCA">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 xml:space="preserve">Receivables are subject to review for </w:t>
      </w:r>
      <w:r w:rsidR="007F7C00">
        <w:rPr>
          <w:rFonts w:ascii="Times New Roman" w:eastAsia="Times New Roman" w:hAnsi="Times New Roman"/>
          <w:i/>
          <w:iCs/>
        </w:rPr>
        <w:t xml:space="preserve">collectability based on the overdue days of the receivablees </w:t>
      </w:r>
      <w:r w:rsidR="004B7D09">
        <w:rPr>
          <w:rFonts w:ascii="Times New Roman" w:eastAsia="Times New Roman" w:hAnsi="Times New Roman"/>
          <w:i/>
          <w:iCs/>
        </w:rPr>
        <w:t>or the estimated loss arising from undue debts of which the indebted entities fall bankrupt</w:t>
      </w:r>
      <w:r w:rsidR="008C3B6A">
        <w:rPr>
          <w:rFonts w:ascii="Times New Roman" w:eastAsia="Times New Roman" w:hAnsi="Times New Roman"/>
          <w:i/>
          <w:iCs/>
        </w:rPr>
        <w:t xml:space="preserve"> or are undergoing dissolution procedures; debtors are missing, </w:t>
      </w:r>
      <w:r w:rsidR="004A0277">
        <w:rPr>
          <w:rFonts w:ascii="Times New Roman" w:eastAsia="Times New Roman" w:hAnsi="Times New Roman"/>
          <w:i/>
          <w:iCs/>
        </w:rPr>
        <w:t xml:space="preserve">under legal claims or </w:t>
      </w:r>
      <w:r w:rsidR="008C3B6A">
        <w:rPr>
          <w:rFonts w:ascii="Times New Roman" w:eastAsia="Times New Roman" w:hAnsi="Times New Roman"/>
          <w:i/>
          <w:iCs/>
        </w:rPr>
        <w:t>deceased</w:t>
      </w:r>
      <w:r w:rsidR="004A0277">
        <w:rPr>
          <w:rFonts w:ascii="Times New Roman" w:eastAsia="Times New Roman" w:hAnsi="Times New Roman"/>
          <w:i/>
          <w:iCs/>
        </w:rPr>
        <w:t>.</w:t>
      </w:r>
    </w:p>
    <w:p w14:paraId="5D9BA537" w14:textId="7BB92E72" w:rsidR="00176BDD" w:rsidRDefault="00176BDD" w:rsidP="00BD2F2E">
      <w:pPr>
        <w:pStyle w:val="ListParagraph"/>
        <w:spacing w:before="120" w:after="120"/>
        <w:ind w:left="706"/>
        <w:contextualSpacing w:val="0"/>
        <w:jc w:val="both"/>
        <w:rPr>
          <w:rFonts w:ascii="Times New Roman" w:eastAsia="Times New Roman" w:hAnsi="Times New Roman"/>
        </w:rPr>
      </w:pPr>
      <w:r w:rsidRPr="00A36643">
        <w:rPr>
          <w:rFonts w:ascii="Times New Roman" w:eastAsia="Times New Roman" w:hAnsi="Times New Roman"/>
        </w:rPr>
        <w:t>Dự phòng phát sinh trong kỳ liên quan đến các khoản phải thu được hạch toán vào chi phí trong báo cáo thu nhập.</w:t>
      </w:r>
    </w:p>
    <w:p w14:paraId="0A37C22E" w14:textId="5B5FA4D0" w:rsidR="004A0277" w:rsidRPr="000C299C" w:rsidRDefault="000C299C" w:rsidP="000C299C">
      <w:pPr>
        <w:keepNext/>
        <w:keepLines/>
        <w:spacing w:before="120" w:after="120"/>
        <w:ind w:left="709"/>
        <w:jc w:val="both"/>
        <w:rPr>
          <w:rFonts w:ascii="Times New Roman" w:eastAsia="Times New Roman" w:hAnsi="Times New Roman"/>
          <w:i/>
          <w:iCs/>
        </w:rPr>
      </w:pPr>
      <w:r w:rsidRPr="000C299C">
        <w:rPr>
          <w:rFonts w:ascii="Times New Roman" w:eastAsia="Times New Roman" w:hAnsi="Times New Roman"/>
          <w:i/>
          <w:iCs/>
        </w:rPr>
        <w:t>Increase in provision for overdue receivables is recorded as an expense in the statement of income.</w:t>
      </w:r>
    </w:p>
    <w:p w14:paraId="06737D3B" w14:textId="7F42A04B" w:rsidR="00E00C8B" w:rsidRDefault="00176BDD" w:rsidP="00176BDD">
      <w:pPr>
        <w:pStyle w:val="ListParagraph"/>
        <w:spacing w:before="120" w:after="120"/>
        <w:ind w:left="709"/>
        <w:contextualSpacing w:val="0"/>
        <w:jc w:val="both"/>
        <w:rPr>
          <w:rFonts w:ascii="Times New Roman" w:eastAsia="Times New Roman" w:hAnsi="Times New Roman"/>
        </w:rPr>
      </w:pPr>
      <w:r w:rsidRPr="00A36643">
        <w:rPr>
          <w:rFonts w:ascii="Times New Roman" w:eastAsia="Times New Roman" w:hAnsi="Times New Roman"/>
        </w:rPr>
        <w:t>Dự phòng phát sinh trong kỳ liên quan đến cổ tức, lãi trái phiếu, lãi tiền gửi ngân hàng và các khoản phải thu khác được hạch toán giảm thu nhập trong báo cáo thu nhập.</w:t>
      </w:r>
    </w:p>
    <w:p w14:paraId="3A0C4A31" w14:textId="0903A6DB" w:rsidR="000C299C" w:rsidRPr="000F5C24" w:rsidRDefault="000F5C24" w:rsidP="000F5C24">
      <w:pPr>
        <w:keepNext/>
        <w:keepLines/>
        <w:spacing w:before="120" w:after="120"/>
        <w:ind w:left="709"/>
        <w:jc w:val="both"/>
        <w:rPr>
          <w:rFonts w:ascii="Times New Roman" w:eastAsia="Times New Roman" w:hAnsi="Times New Roman"/>
          <w:i/>
          <w:iCs/>
        </w:rPr>
      </w:pPr>
      <w:r w:rsidRPr="000F5C24">
        <w:rPr>
          <w:rFonts w:ascii="Times New Roman" w:eastAsia="Times New Roman" w:hAnsi="Times New Roman"/>
          <w:i/>
          <w:iCs/>
        </w:rPr>
        <w:t>Increase in provision of overdue dividend, bonds interest, term deposits interest and other receivables are recorded as reduction of income in the statement of income.</w:t>
      </w:r>
    </w:p>
    <w:p w14:paraId="0F32961B" w14:textId="6C24DFFF"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Các khoản phải trả</w:t>
      </w:r>
    </w:p>
    <w:p w14:paraId="5DB21B91" w14:textId="1BB4B11C" w:rsidR="000F5C24" w:rsidRPr="007E47BE" w:rsidRDefault="007E47BE" w:rsidP="000F5C24">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Payables</w:t>
      </w:r>
    </w:p>
    <w:p w14:paraId="02DA947C" w14:textId="7DFB4F7E" w:rsidR="00D26008" w:rsidRDefault="00E206A0" w:rsidP="00176BDD">
      <w:pPr>
        <w:spacing w:before="120" w:after="120"/>
        <w:ind w:left="709"/>
        <w:jc w:val="both"/>
        <w:rPr>
          <w:rFonts w:ascii="Times New Roman" w:hAnsi="Times New Roman"/>
          <w:lang w:val="nl-NL"/>
        </w:rPr>
      </w:pPr>
      <w:r w:rsidRPr="00A36643">
        <w:rPr>
          <w:rFonts w:ascii="Times New Roman" w:hAnsi="Times New Roman"/>
          <w:lang w:val="nl-NL"/>
        </w:rPr>
        <w:t>Các khoản phải trả được trình bày trên Báo cáo tài chính theo nguyên giá của các khoản phải trả cho hoạt động mua lại chứng chỉ quỹ</w:t>
      </w:r>
      <w:r w:rsidR="00D36CE7" w:rsidRPr="00A36643">
        <w:rPr>
          <w:rFonts w:ascii="Times New Roman" w:hAnsi="Times New Roman"/>
          <w:lang w:val="nl-NL"/>
        </w:rPr>
        <w:t>,</w:t>
      </w:r>
      <w:r w:rsidRPr="00A36643">
        <w:rPr>
          <w:rFonts w:ascii="Times New Roman" w:hAnsi="Times New Roman"/>
          <w:lang w:val="nl-NL"/>
        </w:rPr>
        <w:t xml:space="preserve"> phải trả cho hoạt động kinh doanh chứng khoán</w:t>
      </w:r>
      <w:r w:rsidR="00D36CE7" w:rsidRPr="00A36643">
        <w:rPr>
          <w:rFonts w:ascii="Times New Roman" w:hAnsi="Times New Roman"/>
          <w:lang w:val="nl-NL"/>
        </w:rPr>
        <w:t>,</w:t>
      </w:r>
      <w:r w:rsidRPr="00A36643">
        <w:rPr>
          <w:rFonts w:ascii="Times New Roman" w:hAnsi="Times New Roman"/>
          <w:lang w:val="nl-NL"/>
        </w:rPr>
        <w:t xml:space="preserve"> phải trả thù lao Ban </w:t>
      </w:r>
      <w:r w:rsidR="000A562A" w:rsidRPr="00A36643">
        <w:rPr>
          <w:rFonts w:ascii="Times New Roman" w:hAnsi="Times New Roman"/>
          <w:lang w:val="nl-NL"/>
        </w:rPr>
        <w:t xml:space="preserve">Đại </w:t>
      </w:r>
      <w:r w:rsidRPr="00A36643">
        <w:rPr>
          <w:rFonts w:ascii="Times New Roman" w:hAnsi="Times New Roman"/>
          <w:lang w:val="nl-NL"/>
        </w:rPr>
        <w:t>diện Quỹ</w:t>
      </w:r>
      <w:r w:rsidR="00D36CE7" w:rsidRPr="00A36643">
        <w:rPr>
          <w:rFonts w:ascii="Times New Roman" w:hAnsi="Times New Roman"/>
          <w:lang w:val="nl-NL"/>
        </w:rPr>
        <w:t>,</w:t>
      </w:r>
      <w:r w:rsidRPr="00A36643">
        <w:rPr>
          <w:rFonts w:ascii="Times New Roman" w:hAnsi="Times New Roman"/>
          <w:lang w:val="nl-NL"/>
        </w:rPr>
        <w:t xml:space="preserve"> phải trả cho Công ty Quản lý Quỹ và Ngân hàng Giám sát và các khoản phải trả khác.</w:t>
      </w:r>
    </w:p>
    <w:p w14:paraId="2D258A30" w14:textId="02FC5A2B" w:rsidR="007E47BE" w:rsidRPr="000C5153" w:rsidRDefault="000C5153" w:rsidP="000C5153">
      <w:pPr>
        <w:keepNext/>
        <w:keepLines/>
        <w:spacing w:before="120" w:after="120"/>
        <w:ind w:left="709"/>
        <w:jc w:val="both"/>
        <w:rPr>
          <w:rFonts w:ascii="Times New Roman" w:eastAsia="Times New Roman" w:hAnsi="Times New Roman"/>
          <w:i/>
          <w:iCs/>
        </w:rPr>
      </w:pPr>
      <w:r w:rsidRPr="000C5153">
        <w:rPr>
          <w:rFonts w:ascii="Times New Roman" w:eastAsia="Times New Roman" w:hAnsi="Times New Roman"/>
          <w:i/>
          <w:iCs/>
        </w:rPr>
        <w:lastRenderedPageBreak/>
        <w:t>Payables presented in the statement of financial position are carried at cost of the payables for subscription and redemption, payables for investment trading activities, remuneration payable to the Board of Representatives, payables to the Fund Management Company and the Supervisory Bank and other payables.</w:t>
      </w:r>
    </w:p>
    <w:p w14:paraId="21022868" w14:textId="583DD19F" w:rsidR="007D6CE7" w:rsidRPr="00867F99"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lang w:val="nl-NL"/>
        </w:rPr>
      </w:pPr>
      <w:r w:rsidRPr="00A36643">
        <w:rPr>
          <w:rFonts w:ascii="Times New Roman" w:hAnsi="Times New Roman"/>
          <w:b/>
          <w:lang w:val="nl-NL"/>
        </w:rPr>
        <w:t>Các giao dịch về vốn và thặng dư vốn</w:t>
      </w:r>
    </w:p>
    <w:p w14:paraId="569FAEFB" w14:textId="045DD8CB" w:rsidR="00867F99" w:rsidRPr="009E0DFF" w:rsidRDefault="00541489" w:rsidP="00867F99">
      <w:pPr>
        <w:pStyle w:val="ListParagraph"/>
        <w:spacing w:before="120" w:after="120"/>
        <w:ind w:left="709"/>
        <w:contextualSpacing w:val="0"/>
        <w:jc w:val="both"/>
        <w:rPr>
          <w:rFonts w:ascii="Times New Roman" w:eastAsia="Times New Roman" w:hAnsi="Times New Roman"/>
          <w:b/>
          <w:bCs/>
          <w:i/>
          <w:iCs/>
        </w:rPr>
      </w:pPr>
      <w:r w:rsidRPr="009E0DFF">
        <w:rPr>
          <w:rFonts w:ascii="Times New Roman" w:eastAsia="Times New Roman" w:hAnsi="Times New Roman"/>
          <w:b/>
          <w:bCs/>
          <w:i/>
          <w:iCs/>
        </w:rPr>
        <w:t xml:space="preserve">Share capital and </w:t>
      </w:r>
      <w:r w:rsidR="009E0DFF" w:rsidRPr="009E0DFF">
        <w:rPr>
          <w:rFonts w:ascii="Times New Roman" w:eastAsia="Times New Roman" w:hAnsi="Times New Roman"/>
          <w:b/>
          <w:bCs/>
          <w:i/>
          <w:iCs/>
        </w:rPr>
        <w:t>share premium</w:t>
      </w:r>
    </w:p>
    <w:p w14:paraId="6AD4D4C7" w14:textId="3A60C0E8"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chủ sở hữu</w:t>
      </w:r>
    </w:p>
    <w:p w14:paraId="2CD54565" w14:textId="6083354F" w:rsidR="00D0664E" w:rsidRPr="00A36643" w:rsidRDefault="00032468" w:rsidP="00032468">
      <w:pPr>
        <w:spacing w:before="120" w:after="120"/>
        <w:ind w:left="1080"/>
        <w:jc w:val="both"/>
        <w:rPr>
          <w:rFonts w:ascii="Times New Roman" w:hAnsi="Times New Roman"/>
          <w:b/>
          <w:i/>
          <w:lang w:val="nl-NL"/>
        </w:rPr>
      </w:pPr>
      <w:r>
        <w:rPr>
          <w:rFonts w:ascii="Times New Roman" w:hAnsi="Times New Roman"/>
          <w:b/>
          <w:i/>
          <w:lang w:val="nl-NL"/>
        </w:rPr>
        <w:t>Equity owner</w:t>
      </w:r>
    </w:p>
    <w:p w14:paraId="01F3BC93" w14:textId="49F0FE0C"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 xml:space="preserve">Các chứng chỉ quỹ với quyền hưởng cổ tức được phân loại là vốn chủ sở hữu. Mỗi đơn vị quỹ có mệnh giá là </w:t>
      </w:r>
      <w:r w:rsidR="001106C7">
        <w:rPr>
          <w:rFonts w:ascii="Times New Roman" w:hAnsi="Times New Roman"/>
          <w:lang w:val="nl-NL"/>
        </w:rPr>
        <w:t>mười nghìn (</w:t>
      </w:r>
      <w:r w:rsidRPr="00A36643">
        <w:rPr>
          <w:rFonts w:ascii="Times New Roman" w:hAnsi="Times New Roman"/>
          <w:lang w:val="nl-NL"/>
        </w:rPr>
        <w:t>10.000</w:t>
      </w:r>
      <w:r w:rsidR="001106C7">
        <w:rPr>
          <w:rFonts w:ascii="Times New Roman" w:hAnsi="Times New Roman"/>
          <w:lang w:val="nl-NL"/>
        </w:rPr>
        <w:t>)</w:t>
      </w:r>
      <w:r w:rsidRPr="00A36643">
        <w:rPr>
          <w:rFonts w:ascii="Times New Roman" w:hAnsi="Times New Roman"/>
          <w:lang w:val="nl-NL"/>
        </w:rPr>
        <w:t xml:space="preserve"> đồng Việt Nam.</w:t>
      </w:r>
    </w:p>
    <w:p w14:paraId="2630780A" w14:textId="2AFF3F19" w:rsidR="00032468" w:rsidRPr="00BF1E1E" w:rsidRDefault="00DA51B1" w:rsidP="00DA51B1">
      <w:pPr>
        <w:keepNext/>
        <w:keepLines/>
        <w:spacing w:before="120" w:after="120"/>
        <w:ind w:left="709"/>
        <w:jc w:val="both"/>
        <w:rPr>
          <w:rFonts w:ascii="Times New Roman" w:eastAsia="Times New Roman" w:hAnsi="Times New Roman"/>
          <w:i/>
          <w:iCs/>
          <w:lang w:val="nl-NL"/>
        </w:rPr>
      </w:pPr>
      <w:r w:rsidRPr="00BF1E1E">
        <w:rPr>
          <w:rFonts w:ascii="Times New Roman" w:eastAsia="Times New Roman" w:hAnsi="Times New Roman"/>
          <w:i/>
          <w:iCs/>
          <w:lang w:val="nl-NL"/>
        </w:rPr>
        <w:t xml:space="preserve">The </w:t>
      </w:r>
      <w:r w:rsidR="00BF1E1E">
        <w:rPr>
          <w:rFonts w:ascii="Times New Roman" w:eastAsia="Times New Roman" w:hAnsi="Times New Roman"/>
          <w:i/>
          <w:iCs/>
          <w:lang w:val="nl-NL"/>
        </w:rPr>
        <w:t>f</w:t>
      </w:r>
      <w:r w:rsidRPr="00BF1E1E">
        <w:rPr>
          <w:rFonts w:ascii="Times New Roman" w:eastAsia="Times New Roman" w:hAnsi="Times New Roman"/>
          <w:i/>
          <w:iCs/>
          <w:lang w:val="nl-NL"/>
        </w:rPr>
        <w:t xml:space="preserve">und </w:t>
      </w:r>
      <w:r w:rsidR="00F007C5">
        <w:rPr>
          <w:rFonts w:ascii="Times New Roman" w:eastAsia="Times New Roman" w:hAnsi="Times New Roman"/>
          <w:i/>
          <w:iCs/>
        </w:rPr>
        <w:t>units</w:t>
      </w:r>
      <w:r w:rsidR="00BF1E1E" w:rsidRPr="003276EB">
        <w:rPr>
          <w:rFonts w:ascii="Times New Roman" w:eastAsia="Times New Roman" w:hAnsi="Times New Roman"/>
          <w:i/>
          <w:iCs/>
        </w:rPr>
        <w:t xml:space="preserve"> </w:t>
      </w:r>
      <w:r w:rsidR="003276EB" w:rsidRPr="003276EB">
        <w:rPr>
          <w:rFonts w:ascii="Times New Roman" w:eastAsia="Times New Roman" w:hAnsi="Times New Roman"/>
          <w:i/>
          <w:iCs/>
        </w:rPr>
        <w:t xml:space="preserve">are classified as equity. Each </w:t>
      </w:r>
      <w:r w:rsidR="00F007C5">
        <w:rPr>
          <w:rFonts w:ascii="Times New Roman" w:eastAsia="Times New Roman" w:hAnsi="Times New Roman"/>
          <w:i/>
          <w:iCs/>
        </w:rPr>
        <w:t xml:space="preserve">unit </w:t>
      </w:r>
      <w:r w:rsidR="003276EB" w:rsidRPr="003276EB">
        <w:rPr>
          <w:rFonts w:ascii="Times New Roman" w:eastAsia="Times New Roman" w:hAnsi="Times New Roman"/>
          <w:i/>
          <w:iCs/>
        </w:rPr>
        <w:t xml:space="preserve">has a par value of </w:t>
      </w:r>
      <w:r w:rsidR="001106C7">
        <w:rPr>
          <w:rFonts w:ascii="Times New Roman" w:eastAsia="Times New Roman" w:hAnsi="Times New Roman"/>
          <w:i/>
          <w:iCs/>
        </w:rPr>
        <w:t>ten thousand dongs (</w:t>
      </w:r>
      <w:r w:rsidR="003276EB" w:rsidRPr="003276EB">
        <w:rPr>
          <w:rFonts w:ascii="Times New Roman" w:eastAsia="Times New Roman" w:hAnsi="Times New Roman"/>
          <w:i/>
          <w:iCs/>
        </w:rPr>
        <w:t>VND10,000</w:t>
      </w:r>
      <w:r w:rsidR="001106C7">
        <w:rPr>
          <w:rFonts w:ascii="Times New Roman" w:eastAsia="Times New Roman" w:hAnsi="Times New Roman"/>
          <w:i/>
          <w:iCs/>
        </w:rPr>
        <w:t>)</w:t>
      </w:r>
      <w:r w:rsidR="003276EB" w:rsidRPr="003276EB">
        <w:rPr>
          <w:rFonts w:ascii="Times New Roman" w:eastAsia="Times New Roman" w:hAnsi="Times New Roman"/>
          <w:i/>
          <w:iCs/>
        </w:rPr>
        <w:t>.</w:t>
      </w:r>
    </w:p>
    <w:p w14:paraId="7E9604A0" w14:textId="6F2F85F6"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Số lượng chứng chỉ quỹ sau khi phân phối là số lẻ ở dạng thập phân</w:t>
      </w:r>
      <w:r w:rsidR="004638F1" w:rsidRPr="00A36643">
        <w:rPr>
          <w:rFonts w:ascii="Times New Roman" w:hAnsi="Times New Roman"/>
          <w:lang w:val="nl-NL"/>
        </w:rPr>
        <w:t>,</w:t>
      </w:r>
      <w:r w:rsidRPr="00A36643">
        <w:rPr>
          <w:rFonts w:ascii="Times New Roman" w:hAnsi="Times New Roman"/>
          <w:lang w:val="nl-NL"/>
        </w:rPr>
        <w:t xml:space="preserve"> làm tròn xuống tới số hạng thứ hai sau dấu phẩy.</w:t>
      </w:r>
    </w:p>
    <w:p w14:paraId="313A8046" w14:textId="647D6E90" w:rsidR="00890CD0" w:rsidRPr="00890CD0" w:rsidRDefault="00890CD0" w:rsidP="00890CD0">
      <w:pPr>
        <w:keepNext/>
        <w:keepLines/>
        <w:spacing w:before="120" w:after="120"/>
        <w:ind w:left="709"/>
        <w:jc w:val="both"/>
        <w:rPr>
          <w:rFonts w:ascii="Times New Roman" w:eastAsia="Times New Roman" w:hAnsi="Times New Roman"/>
          <w:i/>
          <w:iCs/>
        </w:rPr>
      </w:pPr>
      <w:r w:rsidRPr="00890CD0">
        <w:rPr>
          <w:rFonts w:ascii="Times New Roman" w:eastAsia="Times New Roman" w:hAnsi="Times New Roman"/>
          <w:i/>
          <w:iCs/>
        </w:rPr>
        <w:t xml:space="preserve">The number of allotted fund </w:t>
      </w:r>
      <w:r>
        <w:rPr>
          <w:rFonts w:ascii="Times New Roman" w:eastAsia="Times New Roman" w:hAnsi="Times New Roman"/>
          <w:i/>
          <w:iCs/>
        </w:rPr>
        <w:t>units</w:t>
      </w:r>
      <w:r w:rsidRPr="00890CD0">
        <w:rPr>
          <w:rFonts w:ascii="Times New Roman" w:eastAsia="Times New Roman" w:hAnsi="Times New Roman"/>
          <w:i/>
          <w:iCs/>
        </w:rPr>
        <w:t xml:space="preserve"> are rounded down to two (2) decimal places.</w:t>
      </w:r>
    </w:p>
    <w:p w14:paraId="5C3C7B4A" w14:textId="4BAD6F35"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phát hành</w:t>
      </w:r>
    </w:p>
    <w:p w14:paraId="579011BB" w14:textId="17BB24C3" w:rsidR="00923B11" w:rsidRPr="00A36643" w:rsidRDefault="00923B11" w:rsidP="00923B11">
      <w:pPr>
        <w:spacing w:before="120" w:after="120"/>
        <w:ind w:left="1080"/>
        <w:jc w:val="both"/>
        <w:rPr>
          <w:rFonts w:ascii="Times New Roman" w:hAnsi="Times New Roman"/>
          <w:b/>
          <w:i/>
          <w:lang w:val="nl-NL"/>
        </w:rPr>
      </w:pPr>
      <w:r>
        <w:rPr>
          <w:rFonts w:ascii="Times New Roman" w:hAnsi="Times New Roman"/>
          <w:b/>
          <w:i/>
          <w:lang w:val="nl-NL"/>
        </w:rPr>
        <w:t>Issued capital</w:t>
      </w:r>
    </w:p>
    <w:p w14:paraId="072B0DC0" w14:textId="0F41835D" w:rsidR="00B5323B" w:rsidRDefault="00943171">
      <w:pPr>
        <w:spacing w:before="120" w:after="120"/>
        <w:ind w:left="709"/>
        <w:jc w:val="both"/>
        <w:rPr>
          <w:rFonts w:ascii="Times New Roman" w:hAnsi="Times New Roman"/>
          <w:lang w:val="nl-NL"/>
        </w:rPr>
      </w:pPr>
      <w:r w:rsidRPr="00A36643">
        <w:rPr>
          <w:rFonts w:ascii="Times New Roman" w:hAnsi="Times New Roman"/>
          <w:lang w:val="nl-NL"/>
        </w:rPr>
        <w:t xml:space="preserve">Vốn góp phát hành phản ánh nguồn vốn đầu tư của Quỹ do các nhà đầu tư góp vốn vào Quỹ theo phương thức mua chứng chỉ quỹ trong lần phát hành lần đầu ra công chúng và các lần phát hành bổ sung hoặc theo phương thức chuyển đổi chứng chỉ quỹ của các quỹ mở khác thuộc sự quản lý của Công </w:t>
      </w:r>
      <w:r w:rsidR="000A562A" w:rsidRPr="00A36643">
        <w:rPr>
          <w:rFonts w:ascii="Times New Roman" w:hAnsi="Times New Roman"/>
          <w:lang w:val="nl-NL"/>
        </w:rPr>
        <w:t xml:space="preserve">ty </w:t>
      </w:r>
      <w:r w:rsidRPr="00A36643">
        <w:rPr>
          <w:rFonts w:ascii="Times New Roman" w:hAnsi="Times New Roman"/>
          <w:lang w:val="nl-NL"/>
        </w:rPr>
        <w:t>quản lý Quỹ với chứng chỉ của Quỹ. Vốn góp phát hành được phản ánh theo mệnh giá.</w:t>
      </w:r>
    </w:p>
    <w:p w14:paraId="5F59481F" w14:textId="776F7313" w:rsidR="00656889" w:rsidRPr="00656889" w:rsidRDefault="00656889" w:rsidP="00656889">
      <w:pPr>
        <w:keepNext/>
        <w:keepLines/>
        <w:spacing w:before="120" w:after="120"/>
        <w:ind w:left="709"/>
        <w:jc w:val="both"/>
        <w:rPr>
          <w:rFonts w:ascii="Times New Roman" w:eastAsia="Times New Roman" w:hAnsi="Times New Roman"/>
          <w:i/>
          <w:iCs/>
        </w:rPr>
      </w:pPr>
      <w:r w:rsidRPr="00656889">
        <w:rPr>
          <w:rFonts w:ascii="Times New Roman" w:eastAsia="Times New Roman" w:hAnsi="Times New Roman"/>
          <w:i/>
          <w:iCs/>
        </w:rPr>
        <w:t>Issued capital represents the fund unitholders’ contributed capital in the initial public offer and on subsequent subscription cycles after the establishment date</w:t>
      </w:r>
      <w:r>
        <w:rPr>
          <w:rFonts w:ascii="Times New Roman" w:eastAsia="Times New Roman" w:hAnsi="Times New Roman"/>
          <w:i/>
          <w:iCs/>
        </w:rPr>
        <w:t xml:space="preserve"> or </w:t>
      </w:r>
      <w:r w:rsidR="00BF1E87">
        <w:rPr>
          <w:rFonts w:ascii="Times New Roman" w:eastAsia="Times New Roman" w:hAnsi="Times New Roman"/>
          <w:i/>
          <w:iCs/>
        </w:rPr>
        <w:t>switching among open-ended funds managed by the Fund Management Company</w:t>
      </w:r>
      <w:r w:rsidRPr="00656889">
        <w:rPr>
          <w:rFonts w:ascii="Times New Roman" w:eastAsia="Times New Roman" w:hAnsi="Times New Roman"/>
          <w:i/>
          <w:iCs/>
        </w:rPr>
        <w:t>. Issued capital is recorded at par value.</w:t>
      </w:r>
    </w:p>
    <w:p w14:paraId="5C721814" w14:textId="099E8A87"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mua lại</w:t>
      </w:r>
    </w:p>
    <w:p w14:paraId="223522CE" w14:textId="14815F6E" w:rsidR="00BF1E87" w:rsidRPr="00A36643" w:rsidRDefault="00BF1E87" w:rsidP="003D7472">
      <w:pPr>
        <w:spacing w:before="120" w:after="120"/>
        <w:ind w:left="1080"/>
        <w:jc w:val="both"/>
        <w:rPr>
          <w:rFonts w:ascii="Times New Roman" w:hAnsi="Times New Roman"/>
          <w:b/>
          <w:i/>
          <w:lang w:val="nl-NL"/>
        </w:rPr>
      </w:pPr>
      <w:r>
        <w:rPr>
          <w:rFonts w:ascii="Times New Roman" w:hAnsi="Times New Roman"/>
          <w:b/>
          <w:i/>
          <w:lang w:val="nl-NL"/>
        </w:rPr>
        <w:t>Redeemed capital</w:t>
      </w:r>
    </w:p>
    <w:p w14:paraId="20129CA5" w14:textId="06B3C71B"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39EA18AC" w14:textId="6DFDF1A2" w:rsidR="003D7472" w:rsidRPr="00D54B93" w:rsidRDefault="00D54B93" w:rsidP="00D54B93">
      <w:pPr>
        <w:keepNext/>
        <w:keepLines/>
        <w:spacing w:before="120" w:after="120"/>
        <w:ind w:left="709"/>
        <w:jc w:val="both"/>
        <w:rPr>
          <w:rFonts w:ascii="Times New Roman" w:eastAsia="Times New Roman" w:hAnsi="Times New Roman"/>
          <w:i/>
          <w:iCs/>
        </w:rPr>
      </w:pPr>
      <w:r w:rsidRPr="00D54B93">
        <w:rPr>
          <w:rFonts w:ascii="Times New Roman" w:eastAsia="Times New Roman" w:hAnsi="Times New Roman"/>
          <w:i/>
          <w:iCs/>
        </w:rPr>
        <w:t>Redeemed capital represents the gross redemption amount paid to fund unitholders in subsequent redemption cycles after establishment date. Redeemed capital is recorded at par value.</w:t>
      </w:r>
    </w:p>
    <w:p w14:paraId="05103691" w14:textId="36A39B34"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i/>
          <w:lang w:val="nl-NL"/>
        </w:rPr>
        <w:t xml:space="preserve">-    </w:t>
      </w:r>
      <w:r w:rsidR="00C5527A" w:rsidRPr="00A36643">
        <w:rPr>
          <w:rFonts w:ascii="Times New Roman" w:hAnsi="Times New Roman"/>
          <w:b/>
          <w:i/>
          <w:lang w:val="nl-NL"/>
        </w:rPr>
        <w:t>Thặng dư vốn góp của nhà đầu tư</w:t>
      </w:r>
    </w:p>
    <w:p w14:paraId="3D85F946" w14:textId="7F4EA97B" w:rsidR="00A848EB" w:rsidRPr="00A36643" w:rsidRDefault="00A848EB" w:rsidP="00A848EB">
      <w:pPr>
        <w:spacing w:before="120" w:after="120"/>
        <w:ind w:left="1080"/>
        <w:jc w:val="both"/>
        <w:rPr>
          <w:rFonts w:ascii="Times New Roman" w:hAnsi="Times New Roman"/>
          <w:b/>
          <w:i/>
          <w:lang w:val="nl-NL"/>
        </w:rPr>
      </w:pPr>
      <w:r w:rsidRPr="00A848EB">
        <w:rPr>
          <w:rFonts w:ascii="Times New Roman" w:hAnsi="Times New Roman"/>
          <w:b/>
          <w:i/>
          <w:lang w:val="nl-NL"/>
        </w:rPr>
        <w:t>Share premium</w:t>
      </w:r>
    </w:p>
    <w:p w14:paraId="5A0A1D3C" w14:textId="28D80F8F" w:rsidR="00A43A57" w:rsidRDefault="00766269" w:rsidP="00232121">
      <w:pPr>
        <w:spacing w:before="120" w:after="120"/>
        <w:ind w:left="709"/>
        <w:jc w:val="both"/>
        <w:rPr>
          <w:rFonts w:ascii="Times New Roman" w:hAnsi="Times New Roman"/>
          <w:bCs/>
          <w:lang w:val="vi-VN"/>
        </w:rPr>
      </w:pPr>
      <w:r w:rsidRPr="00A36643">
        <w:rPr>
          <w:rFonts w:ascii="Times New Roman" w:hAnsi="Times New Roman"/>
          <w:bCs/>
          <w:lang w:val="vi-VN"/>
        </w:rPr>
        <w:t xml:space="preserve">Thặng dư vốn góp phản ánh chênh lệch giữa giá trị tài sản ròng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 xml:space="preserve">và mệnh giá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được phát hành/mua lại.</w:t>
      </w:r>
    </w:p>
    <w:p w14:paraId="161CA230" w14:textId="7C734165" w:rsidR="001B55EF" w:rsidRPr="007D2267" w:rsidRDefault="00BD6CC9" w:rsidP="007D2267">
      <w:pPr>
        <w:keepNext/>
        <w:keepLines/>
        <w:spacing w:before="120" w:after="120"/>
        <w:ind w:left="709"/>
        <w:jc w:val="both"/>
        <w:rPr>
          <w:rFonts w:ascii="Times New Roman" w:eastAsia="Times New Roman" w:hAnsi="Times New Roman"/>
          <w:i/>
          <w:iCs/>
        </w:rPr>
      </w:pPr>
      <w:r w:rsidRPr="00BD6CC9">
        <w:rPr>
          <w:rFonts w:ascii="Times New Roman" w:eastAsia="Times New Roman" w:hAnsi="Times New Roman"/>
          <w:i/>
          <w:iCs/>
        </w:rPr>
        <w:t xml:space="preserve">Share premium represents the difference between the NAV per fund </w:t>
      </w:r>
      <w:r w:rsidR="00C03481">
        <w:rPr>
          <w:rFonts w:ascii="Times New Roman" w:eastAsia="Times New Roman" w:hAnsi="Times New Roman"/>
          <w:i/>
          <w:iCs/>
        </w:rPr>
        <w:t>unit</w:t>
      </w:r>
      <w:r w:rsidRPr="00BD6CC9">
        <w:rPr>
          <w:rFonts w:ascii="Times New Roman" w:eastAsia="Times New Roman" w:hAnsi="Times New Roman"/>
          <w:i/>
          <w:iCs/>
        </w:rPr>
        <w:t xml:space="preserve"> and par value per fund </w:t>
      </w:r>
      <w:r w:rsidR="00E05E26">
        <w:rPr>
          <w:rFonts w:ascii="Times New Roman" w:eastAsia="Times New Roman" w:hAnsi="Times New Roman"/>
          <w:i/>
          <w:iCs/>
        </w:rPr>
        <w:t>unit</w:t>
      </w:r>
      <w:r w:rsidRPr="00BD6CC9">
        <w:rPr>
          <w:rFonts w:ascii="Times New Roman" w:eastAsia="Times New Roman" w:hAnsi="Times New Roman"/>
          <w:i/>
          <w:iCs/>
        </w:rPr>
        <w:t xml:space="preserve"> in a subscription or redemption transaction.</w:t>
      </w:r>
    </w:p>
    <w:p w14:paraId="5110685A" w14:textId="44989A38" w:rsidR="00337153" w:rsidRDefault="005B1A0B" w:rsidP="00B5323B">
      <w:pPr>
        <w:pStyle w:val="ListParagraph"/>
        <w:numPr>
          <w:ilvl w:val="0"/>
          <w:numId w:val="7"/>
        </w:numPr>
        <w:spacing w:before="120" w:after="120"/>
        <w:ind w:left="810" w:firstLine="11"/>
        <w:contextualSpacing w:val="0"/>
        <w:rPr>
          <w:rFonts w:ascii="Times New Roman" w:hAnsi="Times New Roman"/>
          <w:b/>
          <w:i/>
          <w:lang w:val="nl-NL"/>
        </w:rPr>
      </w:pPr>
      <w:r w:rsidRPr="00A36643">
        <w:rPr>
          <w:rFonts w:ascii="Times New Roman" w:hAnsi="Times New Roman"/>
          <w:b/>
          <w:i/>
          <w:lang w:val="nl-NL"/>
        </w:rPr>
        <w:t>Lợi nhuận/(lỗ) chưa phân phối</w:t>
      </w:r>
    </w:p>
    <w:p w14:paraId="2D613C2C" w14:textId="05870278" w:rsidR="00656325" w:rsidRPr="00A36643" w:rsidRDefault="00656325" w:rsidP="00656325">
      <w:pPr>
        <w:pStyle w:val="ListParagraph"/>
        <w:spacing w:before="120" w:after="120"/>
        <w:ind w:left="1440"/>
        <w:contextualSpacing w:val="0"/>
        <w:rPr>
          <w:rFonts w:ascii="Times New Roman" w:hAnsi="Times New Roman"/>
          <w:b/>
          <w:i/>
          <w:lang w:val="nl-NL"/>
        </w:rPr>
      </w:pPr>
      <w:r>
        <w:rPr>
          <w:rFonts w:ascii="Times New Roman" w:hAnsi="Times New Roman"/>
          <w:b/>
          <w:i/>
          <w:lang w:val="nl-NL"/>
        </w:rPr>
        <w:t>Undistributed profits/(accumulated losses)</w:t>
      </w:r>
    </w:p>
    <w:p w14:paraId="7D803190" w14:textId="41A04660"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phân phối phản ánh lãi/(lỗ) chưa phân phối tại thời điểm báo cáo</w:t>
      </w:r>
      <w:r w:rsidR="004638F1" w:rsidRPr="00A36643">
        <w:rPr>
          <w:rFonts w:ascii="Times New Roman" w:hAnsi="Times New Roman"/>
          <w:lang w:val="nl-NL"/>
        </w:rPr>
        <w:t>,</w:t>
      </w:r>
      <w:r w:rsidRPr="00A36643">
        <w:rPr>
          <w:rFonts w:ascii="Times New Roman" w:hAnsi="Times New Roman"/>
          <w:lang w:val="nl-NL"/>
        </w:rPr>
        <w:t xml:space="preserve"> bao gồm lợi nhuận đã thực hiện và lợi nhuận chưa thực hiện.</w:t>
      </w:r>
    </w:p>
    <w:p w14:paraId="3CB8A086" w14:textId="5CD48DBF" w:rsidR="00B768AF" w:rsidRPr="00B768AF" w:rsidRDefault="00B768AF" w:rsidP="00B768AF">
      <w:pPr>
        <w:keepNext/>
        <w:keepLines/>
        <w:spacing w:before="120" w:after="120"/>
        <w:ind w:left="709"/>
        <w:jc w:val="both"/>
        <w:rPr>
          <w:rFonts w:ascii="Times New Roman" w:eastAsia="Times New Roman" w:hAnsi="Times New Roman"/>
          <w:i/>
          <w:iCs/>
        </w:rPr>
      </w:pPr>
      <w:r w:rsidRPr="00B768AF">
        <w:rPr>
          <w:rFonts w:ascii="Times New Roman" w:eastAsia="Times New Roman" w:hAnsi="Times New Roman"/>
          <w:i/>
          <w:iCs/>
        </w:rPr>
        <w:lastRenderedPageBreak/>
        <w:t>Undistributed profits/(accumulated losses) represents cumulative undistributed profits/(</w:t>
      </w:r>
      <w:r w:rsidR="00044570">
        <w:rPr>
          <w:rFonts w:ascii="Times New Roman" w:eastAsia="Times New Roman" w:hAnsi="Times New Roman"/>
          <w:i/>
          <w:iCs/>
        </w:rPr>
        <w:t xml:space="preserve">accumulated </w:t>
      </w:r>
      <w:r w:rsidRPr="00B768AF">
        <w:rPr>
          <w:rFonts w:ascii="Times New Roman" w:eastAsia="Times New Roman" w:hAnsi="Times New Roman"/>
          <w:i/>
          <w:iCs/>
        </w:rPr>
        <w:t>losses) as at the reporting date including cumulative realised profits/(losses) and cumulative unrealised profits/(losses).</w:t>
      </w:r>
    </w:p>
    <w:p w14:paraId="39FA5E98" w14:textId="4929B828"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đã thực hiện là số chênh lệch giữa tổng thu nhập</w:t>
      </w:r>
      <w:r w:rsidR="004638F1" w:rsidRPr="00A36643">
        <w:rPr>
          <w:rFonts w:ascii="Times New Roman" w:hAnsi="Times New Roman"/>
          <w:lang w:val="nl-NL"/>
        </w:rPr>
        <w:t>,</w:t>
      </w:r>
      <w:r w:rsidRPr="00A36643">
        <w:rPr>
          <w:rFonts w:ascii="Times New Roman" w:hAnsi="Times New Roman"/>
          <w:lang w:val="nl-NL"/>
        </w:rPr>
        <w:t xml:space="preserve"> doanh thu với tổng các khoản chi phí của Quỹ lũy kế phát sinh trong năm.</w:t>
      </w:r>
    </w:p>
    <w:p w14:paraId="608AB371" w14:textId="583348F5" w:rsidR="00B6760F" w:rsidRPr="00B6760F" w:rsidRDefault="00B6760F" w:rsidP="00B6760F">
      <w:pPr>
        <w:keepNext/>
        <w:keepLines/>
        <w:spacing w:before="120" w:after="120"/>
        <w:ind w:left="709"/>
        <w:jc w:val="both"/>
        <w:rPr>
          <w:rFonts w:ascii="Times New Roman" w:eastAsia="Times New Roman" w:hAnsi="Times New Roman"/>
          <w:i/>
          <w:iCs/>
        </w:rPr>
      </w:pPr>
      <w:r w:rsidRPr="00B6760F">
        <w:rPr>
          <w:rFonts w:ascii="Times New Roman" w:eastAsia="Times New Roman" w:hAnsi="Times New Roman"/>
          <w:i/>
          <w:iCs/>
        </w:rPr>
        <w:t xml:space="preserve">Realised profits/(losses) incurred during the period are the difference of total income and revenue after </w:t>
      </w:r>
      <w:r w:rsidR="00C15774">
        <w:rPr>
          <w:rFonts w:ascii="Times New Roman" w:eastAsia="Times New Roman" w:hAnsi="Times New Roman"/>
          <w:i/>
          <w:iCs/>
        </w:rPr>
        <w:t>deducting</w:t>
      </w:r>
      <w:r w:rsidR="00A15AC5">
        <w:rPr>
          <w:rFonts w:ascii="Times New Roman" w:eastAsia="Times New Roman" w:hAnsi="Times New Roman"/>
          <w:i/>
          <w:iCs/>
        </w:rPr>
        <w:t xml:space="preserve"> accumulated expenses of the Fund in the period.</w:t>
      </w:r>
    </w:p>
    <w:p w14:paraId="550BBBAB" w14:textId="39A732F7"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thực hiện là số chênh lệch giữa tổng giá trị lãi</w:t>
      </w:r>
      <w:r w:rsidR="004638F1" w:rsidRPr="00A36643">
        <w:rPr>
          <w:rFonts w:ascii="Times New Roman" w:hAnsi="Times New Roman"/>
          <w:lang w:val="nl-NL"/>
        </w:rPr>
        <w:t>,</w:t>
      </w:r>
      <w:r w:rsidRPr="00A36643">
        <w:rPr>
          <w:rFonts w:ascii="Times New Roman" w:hAnsi="Times New Roman"/>
          <w:lang w:val="nl-NL"/>
        </w:rPr>
        <w:t xml:space="preserve"> lỗ đánh giá lại của các khoản đầu tư thuộc danh mục đầu tư của Quỹ lũy kế phát sinh trong năm.</w:t>
      </w:r>
    </w:p>
    <w:p w14:paraId="5E5B120F" w14:textId="66D0AB9A" w:rsidR="009A39BB" w:rsidRPr="009A39BB" w:rsidRDefault="009A39BB" w:rsidP="009A39BB">
      <w:pPr>
        <w:keepNext/>
        <w:keepLines/>
        <w:spacing w:before="120" w:after="120"/>
        <w:ind w:left="709"/>
        <w:jc w:val="both"/>
        <w:rPr>
          <w:rFonts w:ascii="Times New Roman" w:eastAsia="Times New Roman" w:hAnsi="Times New Roman"/>
          <w:i/>
          <w:iCs/>
        </w:rPr>
      </w:pPr>
      <w:r w:rsidRPr="009A39BB">
        <w:rPr>
          <w:rFonts w:ascii="Times New Roman" w:eastAsia="Times New Roman" w:hAnsi="Times New Roman"/>
          <w:i/>
          <w:iCs/>
        </w:rPr>
        <w:t>Unrealised profits/(losses) incurred during the period are unrealised gains/(losses) from revaluation of investments.</w:t>
      </w:r>
    </w:p>
    <w:p w14:paraId="3E2B6FC7" w14:textId="659BF788" w:rsidR="00082E5F"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Cuối niên độ kế toán</w:t>
      </w:r>
      <w:r w:rsidR="009B349D" w:rsidRPr="00A36643">
        <w:rPr>
          <w:rFonts w:ascii="Times New Roman" w:hAnsi="Times New Roman"/>
          <w:lang w:val="nl-NL"/>
        </w:rPr>
        <w:t>.</w:t>
      </w:r>
      <w:r w:rsidRPr="00A36643">
        <w:rPr>
          <w:rFonts w:ascii="Times New Roman" w:hAnsi="Times New Roman"/>
          <w:lang w:val="nl-NL"/>
        </w:rPr>
        <w:t xml:space="preserve"> Quỹ xác định lợi nhuận/(lỗ) đã thực hiện và lợi nhuận/(lỗ) chưa thực hiện trong kỳ và ghi nhận vào “</w:t>
      </w:r>
      <w:r w:rsidRPr="00A36643">
        <w:rPr>
          <w:rFonts w:ascii="Times New Roman" w:hAnsi="Times New Roman"/>
          <w:i/>
          <w:lang w:val="nl-NL"/>
        </w:rPr>
        <w:t>Lợi nhuận/(lỗ) chưa phân phối</w:t>
      </w:r>
      <w:r w:rsidRPr="00A36643">
        <w:rPr>
          <w:rFonts w:ascii="Times New Roman" w:hAnsi="Times New Roman"/>
          <w:lang w:val="nl-NL"/>
        </w:rPr>
        <w:t>”.</w:t>
      </w:r>
    </w:p>
    <w:p w14:paraId="2B73F8CB" w14:textId="1B1C5C2A" w:rsidR="002C7452" w:rsidRPr="002C7452" w:rsidRDefault="002C7452" w:rsidP="002C7452">
      <w:pPr>
        <w:keepNext/>
        <w:keepLines/>
        <w:spacing w:before="120" w:after="120"/>
        <w:ind w:left="709"/>
        <w:jc w:val="both"/>
        <w:rPr>
          <w:rFonts w:ascii="Times New Roman" w:eastAsia="Times New Roman" w:hAnsi="Times New Roman"/>
          <w:i/>
          <w:iCs/>
        </w:rPr>
      </w:pPr>
      <w:r w:rsidRPr="002C7452">
        <w:rPr>
          <w:rFonts w:ascii="Times New Roman" w:eastAsia="Times New Roman" w:hAnsi="Times New Roman"/>
          <w:i/>
          <w:iCs/>
        </w:rPr>
        <w:t>The Fund determines realised profits/(losses) and unrealised profits/(losses) and posts into “Undistributed profits/(accumulated losses)” at the end of each reporting period.</w:t>
      </w:r>
    </w:p>
    <w:p w14:paraId="236C0B46" w14:textId="0C610867" w:rsidR="00337153" w:rsidRDefault="005B1A0B" w:rsidP="00B5323B">
      <w:pPr>
        <w:pStyle w:val="ListParagraph"/>
        <w:numPr>
          <w:ilvl w:val="0"/>
          <w:numId w:val="7"/>
        </w:numPr>
        <w:spacing w:before="120" w:after="120"/>
        <w:ind w:left="900" w:firstLine="11"/>
        <w:contextualSpacing w:val="0"/>
        <w:rPr>
          <w:rFonts w:ascii="Times New Roman" w:hAnsi="Times New Roman"/>
          <w:b/>
          <w:i/>
          <w:lang w:val="nl-NL"/>
        </w:rPr>
      </w:pPr>
      <w:r w:rsidRPr="00A36643">
        <w:rPr>
          <w:rFonts w:ascii="Times New Roman" w:hAnsi="Times New Roman"/>
          <w:b/>
          <w:i/>
          <w:lang w:val="nl-NL"/>
        </w:rPr>
        <w:t>Lợi nhuận/Tài sản phân phối cho nhà đầu tư</w:t>
      </w:r>
    </w:p>
    <w:p w14:paraId="018C0EA5" w14:textId="751A7E65" w:rsidR="00604CF3" w:rsidRPr="00A36643" w:rsidRDefault="00604CF3" w:rsidP="00604CF3">
      <w:pPr>
        <w:pStyle w:val="ListParagraph"/>
        <w:spacing w:before="120" w:after="120"/>
        <w:ind w:left="1440"/>
        <w:contextualSpacing w:val="0"/>
        <w:rPr>
          <w:rFonts w:ascii="Times New Roman" w:hAnsi="Times New Roman"/>
          <w:b/>
          <w:i/>
          <w:lang w:val="nl-NL"/>
        </w:rPr>
      </w:pPr>
      <w:r w:rsidRPr="00604CF3">
        <w:rPr>
          <w:rFonts w:ascii="Times New Roman" w:hAnsi="Times New Roman"/>
          <w:b/>
          <w:i/>
          <w:lang w:val="nl-NL"/>
        </w:rPr>
        <w:t>Profits/assets distributed to fund unitholders</w:t>
      </w:r>
    </w:p>
    <w:p w14:paraId="02F93814" w14:textId="17B00248" w:rsidR="00337153" w:rsidRDefault="005B1A0B" w:rsidP="00232121">
      <w:pPr>
        <w:spacing w:before="120" w:after="120"/>
        <w:ind w:left="709"/>
        <w:jc w:val="both"/>
        <w:rPr>
          <w:rFonts w:ascii="Times New Roman" w:hAnsi="Times New Roman"/>
          <w:lang w:val="nl-NL"/>
        </w:rPr>
      </w:pPr>
      <w:r w:rsidRPr="00A36643">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56545467" w14:textId="085DD254" w:rsidR="0023464F" w:rsidRPr="00A37A44" w:rsidRDefault="00A37A44" w:rsidP="00A37A44">
      <w:pPr>
        <w:keepNext/>
        <w:keepLines/>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These are profits/assets distributed to fund unitholders </w:t>
      </w:r>
      <w:r w:rsidR="003E6F04">
        <w:rPr>
          <w:rFonts w:ascii="Times New Roman" w:eastAsia="Times New Roman" w:hAnsi="Times New Roman"/>
          <w:i/>
          <w:iCs/>
        </w:rPr>
        <w:t>in</w:t>
      </w:r>
      <w:r w:rsidRPr="00604CF3">
        <w:rPr>
          <w:rFonts w:ascii="Times New Roman" w:eastAsia="Times New Roman" w:hAnsi="Times New Roman"/>
          <w:i/>
          <w:iCs/>
        </w:rPr>
        <w:t xml:space="preserve"> the </w:t>
      </w:r>
      <w:r w:rsidR="003E6F04">
        <w:rPr>
          <w:rFonts w:ascii="Times New Roman" w:eastAsia="Times New Roman" w:hAnsi="Times New Roman"/>
          <w:i/>
          <w:iCs/>
        </w:rPr>
        <w:t>year</w:t>
      </w:r>
      <w:r w:rsidRPr="00604CF3">
        <w:rPr>
          <w:rFonts w:ascii="Times New Roman" w:eastAsia="Times New Roman" w:hAnsi="Times New Roman"/>
          <w:i/>
          <w:iCs/>
        </w:rPr>
        <w:t xml:space="preserve"> and their amounts are deducted against undistributed profits</w:t>
      </w:r>
      <w:r w:rsidR="003E6F04">
        <w:rPr>
          <w:rFonts w:ascii="Times New Roman" w:eastAsia="Times New Roman" w:hAnsi="Times New Roman"/>
          <w:i/>
          <w:iCs/>
        </w:rPr>
        <w:t xml:space="preserve"> at the end of the reporting period</w:t>
      </w:r>
      <w:r w:rsidRPr="00604CF3">
        <w:rPr>
          <w:rFonts w:ascii="Times New Roman" w:eastAsia="Times New Roman" w:hAnsi="Times New Roman"/>
          <w:i/>
          <w:iCs/>
        </w:rPr>
        <w:t>.</w:t>
      </w:r>
    </w:p>
    <w:p w14:paraId="5C296D32" w14:textId="1BF533F3" w:rsidR="00D26008" w:rsidRDefault="005B1A0B" w:rsidP="00176BDD">
      <w:pPr>
        <w:spacing w:before="120" w:after="120"/>
        <w:ind w:left="709"/>
        <w:jc w:val="both"/>
        <w:rPr>
          <w:rFonts w:ascii="Times New Roman" w:hAnsi="Times New Roman"/>
          <w:lang w:val="nl-NL"/>
        </w:rPr>
      </w:pPr>
      <w:r w:rsidRPr="00A36643">
        <w:rPr>
          <w:rFonts w:ascii="Times New Roman" w:hAnsi="Times New Roman"/>
          <w:lang w:val="nl-NL"/>
        </w:rPr>
        <w:t>Quỹ ghi nhận lợi nhuận/tài sản phân phối cho nhà đầu tư theo Bản cáo bạch</w:t>
      </w:r>
      <w:r w:rsidR="00D36CE7" w:rsidRPr="00A36643">
        <w:rPr>
          <w:rFonts w:ascii="Times New Roman" w:hAnsi="Times New Roman"/>
          <w:lang w:val="nl-NL"/>
        </w:rPr>
        <w:t>,</w:t>
      </w:r>
      <w:r w:rsidRPr="00A36643">
        <w:rPr>
          <w:rFonts w:ascii="Times New Roman" w:hAnsi="Times New Roman"/>
          <w:lang w:val="nl-NL"/>
        </w:rPr>
        <w:t xml:space="preserve"> Quyết định của Ban Đại diện Quỹ được ủy quyền (ở kỳ gần nhất)</w:t>
      </w:r>
      <w:r w:rsidR="00D36CE7" w:rsidRPr="00A36643">
        <w:rPr>
          <w:rFonts w:ascii="Times New Roman" w:hAnsi="Times New Roman"/>
          <w:lang w:val="nl-NL"/>
        </w:rPr>
        <w:t>,</w:t>
      </w:r>
      <w:r w:rsidRPr="00A36643">
        <w:rPr>
          <w:rFonts w:ascii="Times New Roman" w:hAnsi="Times New Roman"/>
          <w:lang w:val="nl-NL"/>
        </w:rPr>
        <w:t xml:space="preserve"> Nghị quyết của Đại hội Nhà đầu tư</w:t>
      </w:r>
      <w:r w:rsidR="00162F62" w:rsidRPr="00A36643">
        <w:rPr>
          <w:rFonts w:ascii="Times New Roman" w:hAnsi="Times New Roman"/>
          <w:lang w:val="nl-NL"/>
        </w:rPr>
        <w:t xml:space="preserve"> </w:t>
      </w:r>
      <w:r w:rsidRPr="00A36643">
        <w:rPr>
          <w:rFonts w:ascii="Times New Roman" w:hAnsi="Times New Roman"/>
          <w:lang w:val="nl-NL"/>
        </w:rPr>
        <w:t>phù hợp với Điều lệ của Quỹ mở và quy định của pháp luật chứng khoán hiện hành.</w:t>
      </w:r>
    </w:p>
    <w:p w14:paraId="42EDE39B" w14:textId="47445A97" w:rsidR="00604CF3" w:rsidRPr="00604CF3" w:rsidRDefault="0023464F" w:rsidP="005A007D">
      <w:pPr>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 Fund recognises profits/assets distributed to fund unitholders based on </w:t>
      </w:r>
      <w:r w:rsidR="00A37A44">
        <w:rPr>
          <w:rFonts w:ascii="Times New Roman" w:eastAsia="Times New Roman" w:hAnsi="Times New Roman"/>
          <w:i/>
          <w:iCs/>
        </w:rPr>
        <w:t xml:space="preserve">the Fund prospectus, </w:t>
      </w:r>
      <w:r w:rsidRPr="00604CF3">
        <w:rPr>
          <w:rFonts w:ascii="Times New Roman" w:eastAsia="Times New Roman" w:hAnsi="Times New Roman"/>
          <w:i/>
          <w:iCs/>
        </w:rPr>
        <w:t xml:space="preserve">resolutions of the </w:t>
      </w:r>
      <w:r w:rsidR="00A16E89">
        <w:rPr>
          <w:rFonts w:ascii="Times New Roman" w:eastAsia="Times New Roman" w:hAnsi="Times New Roman"/>
          <w:i/>
          <w:iCs/>
        </w:rPr>
        <w:t xml:space="preserve">Board of </w:t>
      </w:r>
      <w:r w:rsidR="00A02EBD">
        <w:rPr>
          <w:rFonts w:ascii="Times New Roman" w:eastAsia="Times New Roman" w:hAnsi="Times New Roman"/>
          <w:i/>
          <w:iCs/>
        </w:rPr>
        <w:t>Representatives</w:t>
      </w:r>
      <w:r w:rsidR="005A007D">
        <w:rPr>
          <w:rFonts w:ascii="Times New Roman" w:eastAsia="Times New Roman" w:hAnsi="Times New Roman"/>
          <w:i/>
          <w:iCs/>
        </w:rPr>
        <w:t xml:space="preserve"> (which was authorized by the latest General Meeting of Investors)</w:t>
      </w:r>
      <w:r w:rsidR="00A02EBD">
        <w:rPr>
          <w:rFonts w:ascii="Times New Roman" w:eastAsia="Times New Roman" w:hAnsi="Times New Roman"/>
          <w:i/>
          <w:iCs/>
        </w:rPr>
        <w:t xml:space="preserve">, resolutions of the </w:t>
      </w:r>
      <w:r w:rsidRPr="00604CF3">
        <w:rPr>
          <w:rFonts w:ascii="Times New Roman" w:eastAsia="Times New Roman" w:hAnsi="Times New Roman"/>
          <w:i/>
          <w:iCs/>
        </w:rPr>
        <w:t>General Meeting</w:t>
      </w:r>
      <w:r w:rsidR="005A007D">
        <w:rPr>
          <w:rFonts w:ascii="Times New Roman" w:eastAsia="Times New Roman" w:hAnsi="Times New Roman"/>
          <w:i/>
          <w:iCs/>
        </w:rPr>
        <w:t xml:space="preserve"> of Investors</w:t>
      </w:r>
      <w:r w:rsidRPr="00604CF3">
        <w:rPr>
          <w:rFonts w:ascii="Times New Roman" w:eastAsia="Times New Roman" w:hAnsi="Times New Roman"/>
          <w:i/>
          <w:iCs/>
        </w:rPr>
        <w:t>, in accordance with the Fund Charter and prevailing securities regulations.</w:t>
      </w:r>
    </w:p>
    <w:p w14:paraId="5DEC881D" w14:textId="24543E01" w:rsidR="00337153" w:rsidRPr="005A007D" w:rsidRDefault="00203083"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t>D</w:t>
      </w:r>
      <w:r w:rsidR="000479C4" w:rsidRPr="00A36643">
        <w:rPr>
          <w:rFonts w:ascii="Times New Roman" w:hAnsi="Times New Roman"/>
          <w:b/>
          <w:bCs/>
          <w:iCs/>
          <w:lang w:val="nl-NL"/>
        </w:rPr>
        <w:t>oanh thu</w:t>
      </w:r>
    </w:p>
    <w:p w14:paraId="4EDB7C76" w14:textId="255C6066" w:rsidR="005A007D" w:rsidRPr="005A007D" w:rsidRDefault="005A007D" w:rsidP="005A007D">
      <w:pPr>
        <w:pStyle w:val="ListParagraph"/>
        <w:spacing w:before="120" w:after="120"/>
        <w:ind w:left="709"/>
        <w:contextualSpacing w:val="0"/>
        <w:jc w:val="both"/>
        <w:rPr>
          <w:rFonts w:ascii="Times New Roman" w:eastAsia="Times New Roman" w:hAnsi="Times New Roman"/>
          <w:b/>
          <w:bCs/>
          <w:i/>
        </w:rPr>
      </w:pPr>
      <w:r>
        <w:rPr>
          <w:rFonts w:ascii="Times New Roman" w:hAnsi="Times New Roman"/>
          <w:b/>
          <w:bCs/>
          <w:i/>
          <w:lang w:val="nl-NL"/>
        </w:rPr>
        <w:t>Revenue</w:t>
      </w:r>
      <w:r w:rsidR="006F34CD">
        <w:rPr>
          <w:rFonts w:ascii="Times New Roman" w:hAnsi="Times New Roman"/>
          <w:b/>
          <w:bCs/>
          <w:i/>
          <w:lang w:val="nl-NL"/>
        </w:rPr>
        <w:t xml:space="preserve"> and income</w:t>
      </w:r>
    </w:p>
    <w:p w14:paraId="562EA83C" w14:textId="4E381F20"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A0EF5F3" w14:textId="0AFE57A1" w:rsidR="009E53ED" w:rsidRPr="009E53ED" w:rsidRDefault="009E53ED" w:rsidP="00232121">
      <w:pPr>
        <w:spacing w:before="120" w:after="120"/>
        <w:ind w:left="709"/>
        <w:jc w:val="both"/>
        <w:rPr>
          <w:rFonts w:ascii="Times New Roman" w:eastAsia="Times New Roman" w:hAnsi="Times New Roman"/>
          <w:i/>
          <w:iCs/>
        </w:rPr>
      </w:pPr>
      <w:r w:rsidRPr="009E53ED">
        <w:rPr>
          <w:rFonts w:ascii="Times New Roman" w:eastAsia="Times New Roman" w:hAnsi="Times New Roman"/>
          <w:i/>
          <w:iCs/>
        </w:rPr>
        <w:t>Revenue is recognised to the extent that it is probable that the economic benefits will flow to the Fund and the revenue can be reliably measured. The following specific recognition criteria must also be met before revenue is recognised:</w:t>
      </w:r>
    </w:p>
    <w:p w14:paraId="56F8EE9F" w14:textId="0C005FA5" w:rsidR="00337153" w:rsidRDefault="00C5527A" w:rsidP="00232121">
      <w:pPr>
        <w:spacing w:before="120" w:after="120"/>
        <w:ind w:left="709"/>
        <w:rPr>
          <w:rFonts w:ascii="Times New Roman" w:hAnsi="Times New Roman"/>
          <w:i/>
          <w:lang w:val="nl-NL"/>
        </w:rPr>
      </w:pPr>
      <w:r w:rsidRPr="00A36643">
        <w:rPr>
          <w:rFonts w:ascii="Times New Roman" w:hAnsi="Times New Roman"/>
          <w:i/>
          <w:lang w:val="nl-NL"/>
        </w:rPr>
        <w:t>Cổ tức</w:t>
      </w:r>
    </w:p>
    <w:p w14:paraId="178ADEFB" w14:textId="77777777" w:rsidR="00990396" w:rsidRPr="00990396" w:rsidRDefault="00990396" w:rsidP="00990396">
      <w:pPr>
        <w:spacing w:before="120" w:after="120"/>
        <w:ind w:left="709"/>
        <w:jc w:val="both"/>
        <w:rPr>
          <w:rFonts w:ascii="Times New Roman" w:eastAsia="Times New Roman" w:hAnsi="Times New Roman"/>
          <w:i/>
          <w:iCs/>
          <w:lang w:val="nl-NL"/>
        </w:rPr>
      </w:pPr>
      <w:r w:rsidRPr="00990396">
        <w:rPr>
          <w:rFonts w:ascii="Times New Roman" w:eastAsia="Times New Roman" w:hAnsi="Times New Roman"/>
          <w:i/>
          <w:iCs/>
          <w:lang w:val="nl-NL"/>
        </w:rPr>
        <w:t>Dividend income</w:t>
      </w:r>
    </w:p>
    <w:p w14:paraId="26E72806" w14:textId="4CB312D9"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Thu nhập từ cổ tức được ghi nhận khi quyền được nhận khoản cổ tức của Quỹ với tư cách là nhà đầu tư được xác lập.</w:t>
      </w:r>
    </w:p>
    <w:p w14:paraId="0CE6FA0F" w14:textId="7A82DA4A" w:rsidR="00990396" w:rsidRPr="00990396" w:rsidRDefault="00990396" w:rsidP="00990396">
      <w:pPr>
        <w:spacing w:before="120" w:after="120"/>
        <w:ind w:left="709"/>
        <w:jc w:val="both"/>
        <w:rPr>
          <w:rFonts w:ascii="Times New Roman" w:eastAsia="Times New Roman" w:hAnsi="Times New Roman"/>
          <w:i/>
          <w:iCs/>
        </w:rPr>
      </w:pPr>
      <w:r w:rsidRPr="00990396">
        <w:rPr>
          <w:rFonts w:ascii="Times New Roman" w:eastAsia="Times New Roman" w:hAnsi="Times New Roman"/>
          <w:i/>
          <w:iCs/>
        </w:rPr>
        <w:t>Dividend income is recognised in the statement of income when the Fund’s entitlement as an investor to receive the dividends is established.</w:t>
      </w:r>
    </w:p>
    <w:p w14:paraId="0CF734FE" w14:textId="633FBBDB"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lastRenderedPageBreak/>
        <w:t>Tiền lãi</w:t>
      </w:r>
    </w:p>
    <w:p w14:paraId="1F169CF3" w14:textId="418FC854" w:rsidR="00AD4C7A" w:rsidRPr="00A36643" w:rsidRDefault="00AD4C7A" w:rsidP="00232121">
      <w:pPr>
        <w:spacing w:before="120" w:after="120"/>
        <w:ind w:left="709"/>
        <w:jc w:val="both"/>
        <w:rPr>
          <w:rFonts w:ascii="Times New Roman" w:hAnsi="Times New Roman"/>
          <w:i/>
          <w:lang w:val="nl-NL"/>
        </w:rPr>
      </w:pPr>
      <w:r w:rsidRPr="00AD4C7A">
        <w:rPr>
          <w:rFonts w:ascii="Times New Roman" w:eastAsia="Times New Roman" w:hAnsi="Times New Roman"/>
          <w:i/>
          <w:iCs/>
          <w:lang w:val="nl-NL"/>
        </w:rPr>
        <w:t>Interest income</w:t>
      </w:r>
    </w:p>
    <w:p w14:paraId="02B89A57" w14:textId="53C2927E"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6A7ACC6E" w14:textId="3EECE11D" w:rsidR="00AD4C7A" w:rsidRPr="00AD4C7A" w:rsidRDefault="00AD4C7A" w:rsidP="00AD4C7A">
      <w:pPr>
        <w:spacing w:before="120" w:after="120"/>
        <w:ind w:left="709"/>
        <w:jc w:val="both"/>
        <w:rPr>
          <w:rFonts w:ascii="Times New Roman" w:eastAsia="Times New Roman" w:hAnsi="Times New Roman"/>
          <w:i/>
          <w:iCs/>
          <w:lang w:val="nl-NL"/>
        </w:rPr>
      </w:pPr>
      <w:r w:rsidRPr="00AD4C7A">
        <w:rPr>
          <w:rFonts w:ascii="Times New Roman" w:eastAsia="Times New Roman" w:hAnsi="Times New Roman"/>
          <w:i/>
          <w:iCs/>
          <w:lang w:val="nl-NL"/>
        </w:rPr>
        <w:t>Interest income from deposits at banks, interest income from transferable certificates of deposit and interest income from bonds are recognised in the statement of income on an accrual basis unless collectability is in doubt.</w:t>
      </w:r>
    </w:p>
    <w:p w14:paraId="7F05B991" w14:textId="1E8D7AFF"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t>Thu nhập từ hoạt động kinh doanh chứng khoán</w:t>
      </w:r>
    </w:p>
    <w:p w14:paraId="34B43E83" w14:textId="01CEF213" w:rsidR="00B00B99" w:rsidRPr="00A36643" w:rsidRDefault="00B00B99" w:rsidP="00232121">
      <w:pPr>
        <w:spacing w:before="120" w:after="120"/>
        <w:ind w:left="709"/>
        <w:jc w:val="both"/>
        <w:rPr>
          <w:rFonts w:ascii="Times New Roman" w:hAnsi="Times New Roman"/>
          <w:i/>
          <w:lang w:val="nl-NL"/>
        </w:rPr>
      </w:pPr>
      <w:r w:rsidRPr="00B00B99">
        <w:rPr>
          <w:rFonts w:ascii="Times New Roman" w:eastAsia="Times New Roman" w:hAnsi="Times New Roman"/>
          <w:i/>
          <w:iCs/>
          <w:lang w:val="nl-NL"/>
        </w:rPr>
        <w:t>Income from securities trading</w:t>
      </w:r>
    </w:p>
    <w:p w14:paraId="3CEAB4BE" w14:textId="7DDCB8E2" w:rsidR="00D26008" w:rsidRDefault="00C5527A" w:rsidP="00176BDD">
      <w:pPr>
        <w:spacing w:before="120" w:after="120"/>
        <w:ind w:left="709"/>
        <w:jc w:val="both"/>
        <w:rPr>
          <w:rFonts w:ascii="Times New Roman" w:hAnsi="Times New Roman"/>
          <w:bCs/>
          <w:iCs/>
          <w:spacing w:val="-2"/>
          <w:lang w:val="nl-NL"/>
        </w:rPr>
      </w:pPr>
      <w:r w:rsidRPr="00A36643">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w:t>
      </w:r>
      <w:r w:rsidR="00216C65" w:rsidRPr="00E35EE2">
        <w:rPr>
          <w:rFonts w:ascii="Times New Roman" w:hAnsi="Times New Roman"/>
          <w:bCs/>
          <w:iCs/>
          <w:spacing w:val="-2"/>
          <w:lang w:val="nl-NL"/>
        </w:rPr>
        <w:t>Tổng Công Ty Lưu ký Và Bù Trừ Chứng khoán Việt Nam (</w:t>
      </w:r>
      <w:r w:rsidR="00216C65">
        <w:rPr>
          <w:rFonts w:ascii="Times New Roman" w:hAnsi="Times New Roman"/>
          <w:bCs/>
          <w:iCs/>
          <w:spacing w:val="-2"/>
          <w:lang w:val="nl-NL"/>
        </w:rPr>
        <w:t>“</w:t>
      </w:r>
      <w:r w:rsidR="00216C65" w:rsidRPr="00E35EE2">
        <w:rPr>
          <w:rFonts w:ascii="Times New Roman" w:hAnsi="Times New Roman"/>
          <w:bCs/>
          <w:iCs/>
          <w:spacing w:val="-2"/>
          <w:lang w:val="nl-NL"/>
        </w:rPr>
        <w:t>VSDC</w:t>
      </w:r>
      <w:r w:rsidR="00216C65">
        <w:rPr>
          <w:rFonts w:ascii="Times New Roman" w:hAnsi="Times New Roman"/>
          <w:bCs/>
          <w:iCs/>
          <w:spacing w:val="-2"/>
          <w:lang w:val="nl-NL"/>
        </w:rPr>
        <w:t>”</w:t>
      </w:r>
      <w:r w:rsidR="00216C65" w:rsidRPr="00E35EE2">
        <w:rPr>
          <w:rFonts w:ascii="Times New Roman" w:hAnsi="Times New Roman"/>
          <w:bCs/>
          <w:iCs/>
          <w:spacing w:val="-2"/>
          <w:lang w:val="nl-NL"/>
        </w:rPr>
        <w:t xml:space="preserve">) </w:t>
      </w:r>
      <w:r w:rsidRPr="00A36643">
        <w:rPr>
          <w:rFonts w:ascii="Times New Roman" w:hAnsi="Times New Roman"/>
          <w:bCs/>
          <w:iCs/>
          <w:spacing w:val="-2"/>
          <w:lang w:val="nl-NL"/>
        </w:rPr>
        <w:t>đã được kiểm tra bởi Ngân hàng Giám sát (đối với chứng khoán đã niêm yết) và khi hoàn tất hợp đồng chuyển nhượng tài sản (đối với chứng khoán chưa niêm yết).</w:t>
      </w:r>
    </w:p>
    <w:p w14:paraId="127529DB" w14:textId="6FFCD092" w:rsidR="00B00B99" w:rsidRPr="006644B9" w:rsidRDefault="006644B9" w:rsidP="00176BDD">
      <w:pPr>
        <w:spacing w:before="120" w:after="120"/>
        <w:ind w:left="709"/>
        <w:jc w:val="both"/>
        <w:rPr>
          <w:rFonts w:ascii="Times New Roman" w:eastAsia="Times New Roman" w:hAnsi="Times New Roman"/>
          <w:i/>
          <w:iCs/>
          <w:lang w:val="nl-NL"/>
        </w:rPr>
      </w:pPr>
      <w:r w:rsidRPr="006644B9">
        <w:rPr>
          <w:rFonts w:ascii="Times New Roman" w:eastAsia="Times New Roman" w:hAnsi="Times New Roman"/>
          <w:i/>
          <w:iCs/>
          <w:lang w:val="nl-NL"/>
        </w:rPr>
        <w:t xml:space="preserve">Income from securities trading activities is recognised in the statement of income upon receipt of the trading report from the </w:t>
      </w:r>
      <w:r w:rsidR="00216C65">
        <w:rPr>
          <w:rFonts w:ascii="Times New Roman" w:eastAsia="Times New Roman" w:hAnsi="Times New Roman"/>
          <w:i/>
          <w:iCs/>
          <w:lang w:val="nl-NL"/>
        </w:rPr>
        <w:t>Vietnam Securities Depository and Clearing Corporation (“VSDC”)</w:t>
      </w:r>
      <w:r w:rsidR="00216C65" w:rsidRPr="00AF6C91">
        <w:rPr>
          <w:rFonts w:ascii="Times New Roman" w:eastAsia="Times New Roman" w:hAnsi="Times New Roman"/>
          <w:i/>
          <w:iCs/>
          <w:lang w:val="nl-NL"/>
        </w:rPr>
        <w:t xml:space="preserve"> </w:t>
      </w:r>
      <w:r w:rsidRPr="006644B9">
        <w:rPr>
          <w:rFonts w:ascii="Times New Roman" w:eastAsia="Times New Roman" w:hAnsi="Times New Roman"/>
          <w:i/>
          <w:iCs/>
          <w:lang w:val="nl-NL"/>
        </w:rPr>
        <w:t>which is verified by the Supervisory Bank (for listed securities) and completion of the sale agreement of transferring assets (for unlisted securities).</w:t>
      </w:r>
    </w:p>
    <w:p w14:paraId="1BBA8523" w14:textId="7E82FF51"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Chi phí</w:t>
      </w:r>
    </w:p>
    <w:p w14:paraId="0289C210" w14:textId="3339B184" w:rsidR="00E845BC" w:rsidRPr="002D2495" w:rsidRDefault="002D2495" w:rsidP="00E845BC">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Expenses</w:t>
      </w:r>
    </w:p>
    <w:p w14:paraId="5D924390" w14:textId="475BEA12" w:rsidR="00337153" w:rsidRDefault="00E14D25" w:rsidP="00232121">
      <w:pPr>
        <w:spacing w:before="120" w:after="120"/>
        <w:ind w:left="709"/>
        <w:jc w:val="both"/>
        <w:rPr>
          <w:rFonts w:ascii="Times New Roman" w:hAnsi="Times New Roman"/>
          <w:bCs/>
          <w:iCs/>
          <w:lang w:val="nl-NL"/>
        </w:rPr>
      </w:pPr>
      <w:r w:rsidRPr="00A36643">
        <w:rPr>
          <w:rFonts w:ascii="Times New Roman" w:hAnsi="Times New Roman"/>
          <w:bCs/>
          <w:iCs/>
          <w:lang w:val="nl-NL"/>
        </w:rPr>
        <w:t>Chi phí được ghi nhận trên cơ sở dồn tích trong báo cáo kết quả hoạt động.</w:t>
      </w:r>
      <w:r w:rsidR="00C46847" w:rsidRPr="00A36643">
        <w:rPr>
          <w:rFonts w:ascii="Times New Roman" w:hAnsi="Times New Roman"/>
          <w:bCs/>
          <w:iCs/>
          <w:lang w:val="nl-NL"/>
        </w:rPr>
        <w:t xml:space="preserve"> Quỹ phát sinh một số chi phí chủ yếu như sau:</w:t>
      </w:r>
    </w:p>
    <w:p w14:paraId="2C2F9B91" w14:textId="50398F36" w:rsidR="002D2495" w:rsidRPr="003F4F8F" w:rsidRDefault="003F4F8F" w:rsidP="00232121">
      <w:pPr>
        <w:spacing w:before="120" w:after="120"/>
        <w:ind w:left="709"/>
        <w:jc w:val="both"/>
        <w:rPr>
          <w:rFonts w:ascii="Times New Roman" w:eastAsia="Times New Roman" w:hAnsi="Times New Roman"/>
          <w:i/>
          <w:iCs/>
          <w:lang w:val="nl-NL"/>
        </w:rPr>
      </w:pPr>
      <w:r w:rsidRPr="003F4F8F">
        <w:rPr>
          <w:rFonts w:ascii="Times New Roman" w:eastAsia="Times New Roman" w:hAnsi="Times New Roman"/>
          <w:i/>
          <w:iCs/>
          <w:lang w:val="nl-NL"/>
        </w:rPr>
        <w:t xml:space="preserve">Expenses are recognised on an accrual basis </w:t>
      </w:r>
      <w:r w:rsidR="004B683B">
        <w:rPr>
          <w:rFonts w:ascii="Times New Roman" w:eastAsia="Times New Roman" w:hAnsi="Times New Roman"/>
          <w:i/>
          <w:iCs/>
          <w:lang w:val="nl-NL"/>
        </w:rPr>
        <w:t>in the report of operations</w:t>
      </w:r>
      <w:r w:rsidRPr="003F4F8F">
        <w:rPr>
          <w:rFonts w:ascii="Times New Roman" w:eastAsia="Times New Roman" w:hAnsi="Times New Roman"/>
          <w:i/>
          <w:iCs/>
          <w:lang w:val="nl-NL"/>
        </w:rPr>
        <w:t>.</w:t>
      </w:r>
      <w:r w:rsidR="004B683B">
        <w:rPr>
          <w:rFonts w:ascii="Times New Roman" w:eastAsia="Times New Roman" w:hAnsi="Times New Roman"/>
          <w:i/>
          <w:iCs/>
          <w:lang w:val="nl-NL"/>
        </w:rPr>
        <w:t xml:space="preserve"> Some key fees and expenses are below:</w:t>
      </w:r>
    </w:p>
    <w:p w14:paraId="4F36DFD3" w14:textId="378428DA" w:rsidR="00337153" w:rsidRDefault="00AC70DF"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sidRPr="00A36643">
        <w:rPr>
          <w:i/>
          <w:sz w:val="22"/>
          <w:szCs w:val="22"/>
          <w:lang w:val="nl-NL"/>
        </w:rPr>
        <w:t>Giá dịch vụ</w:t>
      </w:r>
      <w:r w:rsidR="00E206A0" w:rsidRPr="00A36643">
        <w:rPr>
          <w:i/>
          <w:sz w:val="22"/>
          <w:szCs w:val="22"/>
          <w:lang w:val="nl-NL"/>
        </w:rPr>
        <w:t xml:space="preserve"> quản lý quỹ phải trả cho Công ty Quản lý Quỹ</w:t>
      </w:r>
    </w:p>
    <w:p w14:paraId="641FF1FC" w14:textId="3B83F73A" w:rsidR="00E43186" w:rsidRPr="00A36643" w:rsidRDefault="00E43186"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Pr>
          <w:i/>
          <w:sz w:val="22"/>
          <w:szCs w:val="22"/>
          <w:lang w:val="nl-NL"/>
        </w:rPr>
        <w:t>Management fee payable to the Fund Management Company</w:t>
      </w:r>
    </w:p>
    <w:p w14:paraId="00663817" w14:textId="51AEC606" w:rsidR="00EA750F"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quản lý được tính bằng một phẩy bảy mươi lăm phần trăm (1,75%) </w:t>
      </w:r>
      <w:r w:rsidR="00FF23CA" w:rsidRPr="00A36643">
        <w:rPr>
          <w:rFonts w:ascii="Times New Roman" w:hAnsi="Times New Roman"/>
          <w:lang w:val="nl-NL"/>
        </w:rPr>
        <w:t xml:space="preserve">một năm </w:t>
      </w:r>
      <w:r w:rsidRPr="00A36643">
        <w:rPr>
          <w:rFonts w:ascii="Times New Roman" w:hAnsi="Times New Roman"/>
          <w:lang w:val="nl-NL"/>
        </w:rPr>
        <w:t>trên Giá trị tài sản ròng của Quỹ và được Quỹ thanh toán hàng tháng cho Công ty Quản lý Quỹ. Số tiền giá dịch vụ thu hàng tháng là tổng số tiền giá dịch vụ được tính cho các kỳ định giá trong tháng.</w:t>
      </w:r>
    </w:p>
    <w:p w14:paraId="38EFBCEE" w14:textId="1FD6D241" w:rsidR="00E43186" w:rsidRPr="00E43186" w:rsidRDefault="00D67781" w:rsidP="00232121">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t>M</w:t>
      </w:r>
      <w:r w:rsidR="00E43186">
        <w:rPr>
          <w:rFonts w:ascii="Times New Roman" w:eastAsia="Times New Roman" w:hAnsi="Times New Roman"/>
          <w:i/>
          <w:iCs/>
          <w:lang w:val="nl-NL"/>
        </w:rPr>
        <w:t xml:space="preserve">anagement fee is </w:t>
      </w:r>
      <w:r w:rsidR="00885AD6">
        <w:rPr>
          <w:rFonts w:ascii="Times New Roman" w:eastAsia="Times New Roman" w:hAnsi="Times New Roman"/>
          <w:i/>
          <w:iCs/>
          <w:lang w:val="nl-NL"/>
        </w:rPr>
        <w:t>one point seventy five percent (</w:t>
      </w:r>
      <w:r w:rsidR="00E43186">
        <w:rPr>
          <w:rFonts w:ascii="Times New Roman" w:eastAsia="Times New Roman" w:hAnsi="Times New Roman"/>
          <w:i/>
          <w:iCs/>
          <w:lang w:val="nl-NL"/>
        </w:rPr>
        <w:t>1</w:t>
      </w:r>
      <w:r w:rsidR="00E32119">
        <w:rPr>
          <w:rFonts w:ascii="Times New Roman" w:eastAsia="Times New Roman" w:hAnsi="Times New Roman"/>
          <w:i/>
          <w:iCs/>
          <w:lang w:val="nl-NL"/>
        </w:rPr>
        <w:t>.75%</w:t>
      </w:r>
      <w:r w:rsidR="00885AD6">
        <w:rPr>
          <w:rFonts w:ascii="Times New Roman" w:eastAsia="Times New Roman" w:hAnsi="Times New Roman"/>
          <w:i/>
          <w:iCs/>
          <w:lang w:val="nl-NL"/>
        </w:rPr>
        <w:t>)</w:t>
      </w:r>
      <w:r w:rsidR="00E32119">
        <w:rPr>
          <w:rFonts w:ascii="Times New Roman" w:eastAsia="Times New Roman" w:hAnsi="Times New Roman"/>
          <w:i/>
          <w:iCs/>
          <w:lang w:val="nl-NL"/>
        </w:rPr>
        <w:t xml:space="preserve"> p.a. on the Net asset value of the Fund and settled to the Fund Management Company on </w:t>
      </w:r>
      <w:r w:rsidR="00885AD6">
        <w:rPr>
          <w:rFonts w:ascii="Times New Roman" w:eastAsia="Times New Roman" w:hAnsi="Times New Roman"/>
          <w:i/>
          <w:iCs/>
          <w:lang w:val="nl-NL"/>
        </w:rPr>
        <w:t xml:space="preserve">a </w:t>
      </w:r>
      <w:r w:rsidR="00E32119">
        <w:rPr>
          <w:rFonts w:ascii="Times New Roman" w:eastAsia="Times New Roman" w:hAnsi="Times New Roman"/>
          <w:i/>
          <w:iCs/>
          <w:lang w:val="nl-NL"/>
        </w:rPr>
        <w:t>monthly basis.</w:t>
      </w:r>
      <w:r w:rsidR="009128D6">
        <w:rPr>
          <w:rFonts w:ascii="Times New Roman" w:eastAsia="Times New Roman" w:hAnsi="Times New Roman"/>
          <w:i/>
          <w:iCs/>
          <w:lang w:val="nl-NL"/>
        </w:rPr>
        <w:t xml:space="preserve"> The settled management fee every month is the</w:t>
      </w:r>
      <w:r w:rsidR="00BE5740">
        <w:rPr>
          <w:rFonts w:ascii="Times New Roman" w:eastAsia="Times New Roman" w:hAnsi="Times New Roman"/>
          <w:i/>
          <w:iCs/>
          <w:lang w:val="nl-NL"/>
        </w:rPr>
        <w:t xml:space="preserve"> accumulated fees of all valuation days in the month.</w:t>
      </w:r>
      <w:r w:rsidR="00E32119">
        <w:rPr>
          <w:rFonts w:ascii="Times New Roman" w:eastAsia="Times New Roman" w:hAnsi="Times New Roman"/>
          <w:i/>
          <w:iCs/>
          <w:lang w:val="nl-NL"/>
        </w:rPr>
        <w:t xml:space="preserve"> </w:t>
      </w:r>
    </w:p>
    <w:p w14:paraId="2C676493" w14:textId="29974100" w:rsidR="00337153" w:rsidRDefault="00AC70DF" w:rsidP="00232121">
      <w:pPr>
        <w:spacing w:before="120" w:after="120"/>
        <w:ind w:left="709"/>
        <w:jc w:val="both"/>
        <w:rPr>
          <w:rFonts w:ascii="Times New Roman" w:hAnsi="Times New Roman"/>
          <w:lang w:val="nl-NL"/>
        </w:rPr>
      </w:pPr>
      <w:r w:rsidRPr="00A36643">
        <w:rPr>
          <w:rFonts w:ascii="Times New Roman" w:hAnsi="Times New Roman"/>
          <w:lang w:val="nl-NL"/>
        </w:rPr>
        <w:t>Giá dịch vụ</w:t>
      </w:r>
      <w:r w:rsidR="00E206A0" w:rsidRPr="00A36643">
        <w:rPr>
          <w:rFonts w:ascii="Times New Roman" w:hAnsi="Times New Roman"/>
          <w:lang w:val="nl-NL"/>
        </w:rPr>
        <w:t xml:space="preserve"> quản lý quỹ </w:t>
      </w:r>
      <w:r w:rsidR="00F20CB2" w:rsidRPr="00A36643">
        <w:rPr>
          <w:rFonts w:ascii="Times New Roman" w:hAnsi="Times New Roman"/>
          <w:lang w:val="nl-NL"/>
        </w:rPr>
        <w:t xml:space="preserve">tại từng kỳ định giá </w:t>
      </w:r>
      <w:r w:rsidR="00E206A0" w:rsidRPr="00A36643">
        <w:rPr>
          <w:rFonts w:ascii="Times New Roman" w:hAnsi="Times New Roman"/>
          <w:lang w:val="nl-NL"/>
        </w:rPr>
        <w:t>được tính theo công thức như sau:</w:t>
      </w:r>
    </w:p>
    <w:p w14:paraId="2AA5732B" w14:textId="4CF46F31" w:rsidR="0039598C" w:rsidRPr="0039598C" w:rsidRDefault="00D67781" w:rsidP="00232121">
      <w:pPr>
        <w:spacing w:before="120" w:after="120"/>
        <w:ind w:left="709"/>
        <w:jc w:val="both"/>
        <w:rPr>
          <w:rFonts w:ascii="Times New Roman" w:hAnsi="Times New Roman"/>
          <w:i/>
          <w:iCs/>
          <w:lang w:val="nl-NL"/>
        </w:rPr>
      </w:pPr>
      <w:r>
        <w:rPr>
          <w:rFonts w:ascii="Times New Roman" w:hAnsi="Times New Roman"/>
          <w:i/>
          <w:iCs/>
          <w:lang w:val="nl-NL"/>
        </w:rPr>
        <w:t>M</w:t>
      </w:r>
      <w:r w:rsidR="0039598C">
        <w:rPr>
          <w:rFonts w:ascii="Times New Roman" w:hAnsi="Times New Roman"/>
          <w:i/>
          <w:iCs/>
          <w:lang w:val="nl-NL"/>
        </w:rPr>
        <w:t>anagement fee on a valuation period is calculated as below:</w:t>
      </w:r>
    </w:p>
    <w:p w14:paraId="158A158D" w14:textId="309E180C" w:rsidR="00337153"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lý của k</w:t>
      </w:r>
      <w:r w:rsidR="0039598C">
        <w:rPr>
          <w:rFonts w:ascii="Times New Roman" w:hAnsi="Times New Roman"/>
          <w:lang w:val="nl-NL"/>
        </w:rPr>
        <w:t>ỳ</w:t>
      </w:r>
      <w:r w:rsidRPr="00A36643">
        <w:rPr>
          <w:rFonts w:ascii="Times New Roman" w:hAnsi="Times New Roman"/>
          <w:lang w:val="nl-NL"/>
        </w:rPr>
        <w:t xml:space="preserve"> định giá = (1,75% x Giá trị tài sản ròng tại ngày định giá </w:t>
      </w:r>
      <w:r w:rsidR="004D289A" w:rsidRPr="00A36643">
        <w:rPr>
          <w:rFonts w:ascii="Times New Roman" w:hAnsi="Times New Roman"/>
          <w:lang w:val="nl-NL"/>
        </w:rPr>
        <w:t>x</w:t>
      </w:r>
      <w:r w:rsidRPr="00A36643">
        <w:rPr>
          <w:rFonts w:ascii="Times New Roman" w:hAnsi="Times New Roman"/>
          <w:lang w:val="nl-NL"/>
        </w:rPr>
        <w:t xml:space="preserve"> số ngày thực tế trong kỳ)/ 365 hoặc 366 (nếu là năm nhuận)</w:t>
      </w:r>
    </w:p>
    <w:p w14:paraId="76D4259D" w14:textId="0CCFA5A6"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Management fee = (1.75% x Net asset value on the valuation day x number of days of the valuation period)/ 365 or 366 (in case of leap year)</w:t>
      </w:r>
    </w:p>
    <w:p w14:paraId="71259499" w14:textId="15129498" w:rsidR="00CB69CF" w:rsidRDefault="00CB69CF" w:rsidP="00232121">
      <w:pPr>
        <w:spacing w:before="120" w:after="120"/>
        <w:ind w:left="709"/>
        <w:jc w:val="both"/>
        <w:rPr>
          <w:rFonts w:ascii="Times New Roman" w:hAnsi="Times New Roman"/>
          <w:lang w:val="nl-NL"/>
        </w:rPr>
      </w:pPr>
      <w:r w:rsidRPr="00A36643">
        <w:rPr>
          <w:rFonts w:ascii="Times New Roman" w:hAnsi="Times New Roman"/>
          <w:lang w:val="nl-NL"/>
        </w:rPr>
        <w:t>Trong mọi trường hợp tổng giá dịch vụ quản lý quỹ, giá dịch vụ đại lý chuyển nhượng và giá dịch vụ quản trị quỹ không được vượt quá hai phần trăm (2%) một năm trên Giá Trị Tài Sản Ròng của Quỹ theo quy định của Pháp Luật.</w:t>
      </w:r>
    </w:p>
    <w:p w14:paraId="04DB430B" w14:textId="546EACBB"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 xml:space="preserve">In </w:t>
      </w:r>
      <w:r w:rsidR="00A13244">
        <w:rPr>
          <w:rFonts w:ascii="Times New Roman" w:hAnsi="Times New Roman"/>
          <w:i/>
          <w:iCs/>
          <w:lang w:val="nl-NL"/>
        </w:rPr>
        <w:t>any case, the aggregate of management fee, transfer agent fee and fund admin fee must not exceed two percent (2%) p.a of the Net asset value of the Fund in accordance with legal regulations.</w:t>
      </w:r>
    </w:p>
    <w:p w14:paraId="61FD6C41" w14:textId="51184C4F"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lastRenderedPageBreak/>
        <w:t>Giá dịch vụ đại lý chuyển nhượng</w:t>
      </w:r>
    </w:p>
    <w:p w14:paraId="2C345ED3" w14:textId="62D1BBED" w:rsidR="00A13244" w:rsidRPr="00A36643" w:rsidRDefault="00A13244" w:rsidP="009D3E9F">
      <w:pPr>
        <w:spacing w:before="120" w:after="120"/>
        <w:ind w:left="709"/>
        <w:jc w:val="both"/>
        <w:rPr>
          <w:rFonts w:ascii="Times New Roman" w:hAnsi="Times New Roman"/>
          <w:i/>
          <w:lang w:val="nl-NL"/>
        </w:rPr>
      </w:pPr>
      <w:r>
        <w:rPr>
          <w:rFonts w:ascii="Times New Roman" w:hAnsi="Times New Roman"/>
          <w:i/>
          <w:lang w:val="nl-NL"/>
        </w:rPr>
        <w:t>Transfer agent fee</w:t>
      </w:r>
    </w:p>
    <w:p w14:paraId="522EEF53" w14:textId="1CBB7FD1"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Giá dịch vụ đại lý chuyển nhượng cố định là 1</w:t>
      </w:r>
      <w:r w:rsidR="00297703">
        <w:rPr>
          <w:rFonts w:ascii="Times New Roman" w:hAnsi="Times New Roman"/>
          <w:lang w:val="nl-NL"/>
        </w:rPr>
        <w:t>2</w:t>
      </w:r>
      <w:r w:rsidRPr="00A36643">
        <w:rPr>
          <w:rFonts w:ascii="Times New Roman" w:hAnsi="Times New Roman"/>
          <w:lang w:val="nl-NL"/>
        </w:rPr>
        <w:t>.000.000 đồng mỗi tháng chưa bao gồm thuế VAT, được ghi nhận vào chi phí của Quỹ tại mỗi kỳ định giá và được trả cho tổ chức cung cấp dịch vụ hàng tháng để thực hiện dịch vụ đại lý chuyển nhượng cho Quỹ. Giá dịch vụ đại lý chuyển nhượng được tính và trích lập cho các kỳ định giá thực hiện trong tháng.</w:t>
      </w:r>
    </w:p>
    <w:p w14:paraId="6023470C" w14:textId="37F65063" w:rsidR="00A13244" w:rsidRPr="00A13244" w:rsidRDefault="00A13244" w:rsidP="009D3E9F">
      <w:pPr>
        <w:spacing w:before="120" w:after="120"/>
        <w:ind w:left="709"/>
        <w:jc w:val="both"/>
        <w:rPr>
          <w:rFonts w:ascii="Times New Roman" w:hAnsi="Times New Roman"/>
          <w:i/>
          <w:iCs/>
          <w:lang w:val="nl-NL"/>
        </w:rPr>
      </w:pPr>
      <w:r>
        <w:rPr>
          <w:rFonts w:ascii="Times New Roman" w:hAnsi="Times New Roman"/>
          <w:i/>
          <w:iCs/>
          <w:lang w:val="nl-NL"/>
        </w:rPr>
        <w:t xml:space="preserve">Transfer agent fee is fixed at VND12,000,000 per month (exclusive of VAT), and is recorded in the Fund’s expenses on every valuation period, and is settled to the service provider on a monthly basis. </w:t>
      </w:r>
      <w:r w:rsidR="005A712E">
        <w:rPr>
          <w:rFonts w:ascii="Times New Roman" w:hAnsi="Times New Roman"/>
          <w:i/>
          <w:iCs/>
          <w:lang w:val="nl-NL"/>
        </w:rPr>
        <w:t>Transfer agent fee is calculated and accrued in</w:t>
      </w:r>
      <w:r w:rsidR="00D67781">
        <w:rPr>
          <w:rFonts w:ascii="Times New Roman" w:hAnsi="Times New Roman"/>
          <w:i/>
          <w:iCs/>
          <w:lang w:val="nl-NL"/>
        </w:rPr>
        <w:t xml:space="preserve"> all valuation periods of the month.</w:t>
      </w:r>
    </w:p>
    <w:p w14:paraId="6DA02AB3" w14:textId="7F76BF93"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t>Phí giao dịch chứng khoán - Ngân hàng TNHH một thành viên Standard Chartered (Việt Nam)</w:t>
      </w:r>
    </w:p>
    <w:p w14:paraId="09A073E6" w14:textId="1D6667B8" w:rsidR="00D67781" w:rsidRPr="00A36643" w:rsidRDefault="00D67781" w:rsidP="009D3E9F">
      <w:pPr>
        <w:spacing w:before="120" w:after="120"/>
        <w:ind w:left="709"/>
        <w:jc w:val="both"/>
        <w:rPr>
          <w:rFonts w:ascii="Times New Roman" w:hAnsi="Times New Roman"/>
          <w:i/>
          <w:lang w:val="nl-NL"/>
        </w:rPr>
      </w:pPr>
      <w:r>
        <w:rPr>
          <w:rFonts w:ascii="Times New Roman" w:hAnsi="Times New Roman"/>
          <w:i/>
          <w:lang w:val="nl-NL"/>
        </w:rPr>
        <w:t>Securities transaction fee – Standard Chartered Bank (Vietnam) Limited</w:t>
      </w:r>
    </w:p>
    <w:p w14:paraId="6B457098" w14:textId="7CA5BB48"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Quỹ có nghĩa vụ phải trả cho Ngân hàng Lưu ký một khoản phí giao dịch chứng khoán là 150.000 VNĐ/giao dịch mua bán chứng khoán.</w:t>
      </w:r>
    </w:p>
    <w:p w14:paraId="7D0EB742" w14:textId="7DAB06BF" w:rsidR="00D67781" w:rsidRPr="00D67781" w:rsidRDefault="00D67781" w:rsidP="009D3E9F">
      <w:pPr>
        <w:spacing w:before="120" w:after="120"/>
        <w:ind w:left="709"/>
        <w:jc w:val="both"/>
        <w:rPr>
          <w:rFonts w:ascii="Times New Roman" w:hAnsi="Times New Roman"/>
          <w:i/>
          <w:lang w:val="nl-NL"/>
        </w:rPr>
      </w:pPr>
      <w:r>
        <w:rPr>
          <w:rFonts w:ascii="Times New Roman" w:hAnsi="Times New Roman"/>
          <w:i/>
          <w:lang w:val="nl-NL"/>
        </w:rPr>
        <w:t>Transaction fee is VND150,000 per securities transaction and is paid to the Custodian Bank.</w:t>
      </w:r>
    </w:p>
    <w:p w14:paraId="6D6973E6" w14:textId="55B60FA5" w:rsidR="00337153" w:rsidRDefault="00AC70DF" w:rsidP="00232121">
      <w:pPr>
        <w:spacing w:before="120" w:after="120"/>
        <w:ind w:left="1418" w:hanging="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giám sát </w:t>
      </w:r>
      <w:r w:rsidR="00A43A57" w:rsidRPr="00A36643">
        <w:rPr>
          <w:rFonts w:ascii="Times New Roman" w:hAnsi="Times New Roman"/>
          <w:i/>
          <w:lang w:val="nl-NL"/>
        </w:rPr>
        <w:t>–</w:t>
      </w:r>
      <w:r w:rsidR="00E206A0" w:rsidRPr="00A36643">
        <w:rPr>
          <w:rFonts w:ascii="Times New Roman" w:hAnsi="Times New Roman"/>
          <w:i/>
          <w:lang w:val="nl-NL"/>
        </w:rPr>
        <w:t xml:space="preserve"> Ngân hàng TNHH một thành viên Standard Chartered (Việt Nam)</w:t>
      </w:r>
    </w:p>
    <w:p w14:paraId="448307E8" w14:textId="28349494" w:rsidR="00D67781" w:rsidRPr="00A36643" w:rsidRDefault="00D67781" w:rsidP="00232121">
      <w:pPr>
        <w:spacing w:before="120" w:after="120"/>
        <w:ind w:left="1418" w:hanging="709"/>
        <w:rPr>
          <w:rFonts w:ascii="Times New Roman" w:hAnsi="Times New Roman"/>
          <w:i/>
          <w:lang w:val="nl-NL"/>
        </w:rPr>
      </w:pPr>
      <w:r>
        <w:rPr>
          <w:rFonts w:ascii="Times New Roman" w:hAnsi="Times New Roman"/>
          <w:i/>
          <w:lang w:val="nl-NL"/>
        </w:rPr>
        <w:t>Supervisory fee – Standard Chartered Bank (Vietnam) Limited</w:t>
      </w:r>
    </w:p>
    <w:p w14:paraId="127A3032" w14:textId="0434B056" w:rsidR="00337153" w:rsidRDefault="00EB12E2" w:rsidP="00FC008C">
      <w:pPr>
        <w:spacing w:before="120" w:after="120"/>
        <w:ind w:left="709"/>
        <w:jc w:val="both"/>
        <w:rPr>
          <w:rFonts w:ascii="Times New Roman" w:hAnsi="Times New Roman"/>
          <w:lang w:val="nl-NL"/>
        </w:rPr>
      </w:pPr>
      <w:r w:rsidRPr="00A36643">
        <w:rPr>
          <w:rFonts w:ascii="Times New Roman" w:hAnsi="Times New Roman"/>
          <w:lang w:val="nl-NL"/>
        </w:rPr>
        <w:t xml:space="preserve">Giá dịch vụ giám sát là không phẩy không </w:t>
      </w:r>
      <w:r w:rsidR="009D3E9F" w:rsidRPr="00A36643">
        <w:rPr>
          <w:rFonts w:ascii="Times New Roman" w:hAnsi="Times New Roman"/>
          <w:lang w:val="nl-NL"/>
        </w:rPr>
        <w:t xml:space="preserve">ba </w:t>
      </w:r>
      <w:r w:rsidRPr="00A36643">
        <w:rPr>
          <w:rFonts w:ascii="Times New Roman" w:hAnsi="Times New Roman"/>
          <w:lang w:val="nl-NL"/>
        </w:rPr>
        <w:t>phần trăm (0,0</w:t>
      </w:r>
      <w:r w:rsidR="004861A0" w:rsidRPr="00A36643">
        <w:rPr>
          <w:rFonts w:ascii="Times New Roman" w:hAnsi="Times New Roman"/>
          <w:lang w:val="nl-NL"/>
        </w:rPr>
        <w:t>3</w:t>
      </w:r>
      <w:r w:rsidRPr="00A36643">
        <w:rPr>
          <w:rFonts w:ascii="Times New Roman" w:hAnsi="Times New Roman"/>
          <w:lang w:val="nl-NL"/>
        </w:rPr>
        <w:t xml:space="preserve">%) trên GTTSR một (01) năm, tối thiểu là hai mươi </w:t>
      </w:r>
      <w:r w:rsidR="009D3E9F" w:rsidRPr="00A36643">
        <w:rPr>
          <w:rFonts w:ascii="Times New Roman" w:hAnsi="Times New Roman"/>
          <w:lang w:val="nl-NL"/>
        </w:rPr>
        <w:t xml:space="preserve">ba </w:t>
      </w:r>
      <w:r w:rsidRPr="00A36643">
        <w:rPr>
          <w:rFonts w:ascii="Times New Roman" w:hAnsi="Times New Roman"/>
          <w:lang w:val="nl-NL"/>
        </w:rPr>
        <w:t>triệu (2</w:t>
      </w:r>
      <w:r w:rsidR="004861A0" w:rsidRPr="00A36643">
        <w:rPr>
          <w:rFonts w:ascii="Times New Roman" w:hAnsi="Times New Roman"/>
          <w:lang w:val="nl-NL"/>
        </w:rPr>
        <w:t>3</w:t>
      </w:r>
      <w:r w:rsidRPr="00A36643">
        <w:rPr>
          <w:rFonts w:ascii="Times New Roman" w:hAnsi="Times New Roman"/>
          <w:lang w:val="nl-NL"/>
        </w:rPr>
        <w:t>.000.000) đồng một (01) tháng</w:t>
      </w:r>
      <w:r w:rsidR="00FC008C" w:rsidRPr="00A36643">
        <w:rPr>
          <w:rFonts w:ascii="Times New Roman" w:hAnsi="Times New Roman"/>
          <w:lang w:val="nl-NL"/>
        </w:rPr>
        <w:t>.</w:t>
      </w:r>
    </w:p>
    <w:p w14:paraId="745D7A0D" w14:textId="4BA090AF" w:rsidR="00D67781" w:rsidRPr="00D67781" w:rsidRDefault="00D67781" w:rsidP="00FC008C">
      <w:pPr>
        <w:spacing w:before="120" w:after="120"/>
        <w:ind w:left="709"/>
        <w:jc w:val="both"/>
        <w:rPr>
          <w:rFonts w:ascii="Times New Roman" w:hAnsi="Times New Roman"/>
          <w:i/>
          <w:iCs/>
          <w:lang w:val="nl-NL"/>
        </w:rPr>
      </w:pPr>
      <w:r>
        <w:rPr>
          <w:rFonts w:ascii="Times New Roman" w:hAnsi="Times New Roman"/>
          <w:i/>
          <w:iCs/>
          <w:lang w:val="nl-NL"/>
        </w:rPr>
        <w:t xml:space="preserve">Supervisory fee is </w:t>
      </w:r>
      <w:r w:rsidR="00F76535">
        <w:rPr>
          <w:rFonts w:ascii="Times New Roman" w:hAnsi="Times New Roman"/>
          <w:i/>
          <w:iCs/>
          <w:lang w:val="nl-NL"/>
        </w:rPr>
        <w:t>zero point zero three percent (</w:t>
      </w:r>
      <w:r>
        <w:rPr>
          <w:rFonts w:ascii="Times New Roman" w:hAnsi="Times New Roman"/>
          <w:i/>
          <w:iCs/>
          <w:lang w:val="nl-NL"/>
        </w:rPr>
        <w:t>0.03%</w:t>
      </w:r>
      <w:r w:rsidR="00F76535">
        <w:rPr>
          <w:rFonts w:ascii="Times New Roman" w:hAnsi="Times New Roman"/>
          <w:i/>
          <w:iCs/>
          <w:lang w:val="nl-NL"/>
        </w:rPr>
        <w:t>)</w:t>
      </w:r>
      <w:r>
        <w:rPr>
          <w:rFonts w:ascii="Times New Roman" w:hAnsi="Times New Roman"/>
          <w:i/>
          <w:iCs/>
          <w:lang w:val="nl-NL"/>
        </w:rPr>
        <w:t xml:space="preserve"> </w:t>
      </w:r>
      <w:r w:rsidR="00744A83">
        <w:rPr>
          <w:rFonts w:ascii="Times New Roman" w:hAnsi="Times New Roman"/>
          <w:i/>
          <w:iCs/>
          <w:lang w:val="nl-NL"/>
        </w:rPr>
        <w:t>p.a. of the Net asset value, with a monthly minimum fee at twenty-three million dongs (VND 23,000,000).</w:t>
      </w:r>
    </w:p>
    <w:p w14:paraId="77211942" w14:textId="00FBC203" w:rsidR="00337153" w:rsidRDefault="00AC70DF" w:rsidP="00232121">
      <w:pPr>
        <w:spacing w:before="120" w:after="120"/>
        <w:ind w:left="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lưu ký - Ngân hàng TNHH một thành viên Standard Chartered (Việt Nam)</w:t>
      </w:r>
    </w:p>
    <w:p w14:paraId="554E8EBB" w14:textId="0417A333" w:rsidR="00744A83" w:rsidRPr="00A36643" w:rsidRDefault="00744A83" w:rsidP="00232121">
      <w:pPr>
        <w:spacing w:before="120" w:after="120"/>
        <w:ind w:left="709"/>
        <w:rPr>
          <w:rFonts w:ascii="Times New Roman" w:hAnsi="Times New Roman"/>
          <w:i/>
          <w:lang w:val="nl-NL"/>
        </w:rPr>
      </w:pPr>
      <w:r>
        <w:rPr>
          <w:rFonts w:ascii="Times New Roman" w:hAnsi="Times New Roman"/>
          <w:i/>
          <w:lang w:val="nl-NL"/>
        </w:rPr>
        <w:t>Custody fee – Standard Chartered Bank (Vietnam) Limited</w:t>
      </w:r>
    </w:p>
    <w:p w14:paraId="6E5DF1D1" w14:textId="454109E1" w:rsidR="00FC008C" w:rsidRDefault="00FC008C"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lưu ký là không phẩy không sáu phần trăm (0,06%) trên GTTSR một (01) năm, tối thiểu là mười </w:t>
      </w:r>
      <w:r w:rsidR="009D3E9F" w:rsidRPr="00A36643">
        <w:rPr>
          <w:rFonts w:ascii="Times New Roman" w:hAnsi="Times New Roman"/>
          <w:lang w:val="nl-NL"/>
        </w:rPr>
        <w:t xml:space="preserve">chín </w:t>
      </w:r>
      <w:r w:rsidRPr="00A36643">
        <w:rPr>
          <w:rFonts w:ascii="Times New Roman" w:hAnsi="Times New Roman"/>
          <w:lang w:val="nl-NL"/>
        </w:rPr>
        <w:t>triệu (1</w:t>
      </w:r>
      <w:r w:rsidR="004861A0" w:rsidRPr="00A36643">
        <w:rPr>
          <w:rFonts w:ascii="Times New Roman" w:hAnsi="Times New Roman"/>
          <w:lang w:val="nl-NL"/>
        </w:rPr>
        <w:t>9</w:t>
      </w:r>
      <w:r w:rsidRPr="00A36643">
        <w:rPr>
          <w:rFonts w:ascii="Times New Roman" w:hAnsi="Times New Roman"/>
          <w:lang w:val="nl-NL"/>
        </w:rPr>
        <w:t>.000.000) đồng một (01) tháng.</w:t>
      </w:r>
    </w:p>
    <w:p w14:paraId="6B24C3EB" w14:textId="5CA2C678"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 xml:space="preserve">Custody fee is </w:t>
      </w:r>
      <w:r w:rsidR="00F76535">
        <w:rPr>
          <w:rFonts w:ascii="Times New Roman" w:hAnsi="Times New Roman"/>
          <w:i/>
          <w:iCs/>
          <w:lang w:val="nl-NL"/>
        </w:rPr>
        <w:t>zero point zero six percent (</w:t>
      </w:r>
      <w:r>
        <w:rPr>
          <w:rFonts w:ascii="Times New Roman" w:hAnsi="Times New Roman"/>
          <w:i/>
          <w:iCs/>
          <w:lang w:val="nl-NL"/>
        </w:rPr>
        <w:t>0.06%</w:t>
      </w:r>
      <w:r w:rsidR="00F76535">
        <w:rPr>
          <w:rFonts w:ascii="Times New Roman" w:hAnsi="Times New Roman"/>
          <w:i/>
          <w:iCs/>
          <w:lang w:val="nl-NL"/>
        </w:rPr>
        <w:t>)</w:t>
      </w:r>
      <w:r>
        <w:rPr>
          <w:rFonts w:ascii="Times New Roman" w:hAnsi="Times New Roman"/>
          <w:i/>
          <w:iCs/>
          <w:lang w:val="nl-NL"/>
        </w:rPr>
        <w:t xml:space="preserve"> p.a. of the Net asset value, with a monthly minimum fee at nineteen million dongs (VND 19,000,000).</w:t>
      </w:r>
    </w:p>
    <w:p w14:paraId="2B05CC7F" w14:textId="62568F54" w:rsidR="00337153" w:rsidRDefault="00AC70DF" w:rsidP="00232121">
      <w:pPr>
        <w:spacing w:before="120" w:after="120"/>
        <w:ind w:left="709"/>
        <w:jc w:val="both"/>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dịch vụ quản trị Quỹ - Ngân hàng TNHH một thành viên Standard Chartered (Việt Nam)</w:t>
      </w:r>
    </w:p>
    <w:p w14:paraId="2DC561DC" w14:textId="79D5C69E" w:rsidR="00744A83" w:rsidRPr="00A36643" w:rsidRDefault="00744A83" w:rsidP="00232121">
      <w:pPr>
        <w:spacing w:before="120" w:after="120"/>
        <w:ind w:left="709"/>
        <w:jc w:val="both"/>
        <w:rPr>
          <w:rFonts w:ascii="Times New Roman" w:hAnsi="Times New Roman"/>
          <w:i/>
          <w:lang w:val="nl-NL"/>
        </w:rPr>
      </w:pPr>
      <w:r>
        <w:rPr>
          <w:rFonts w:ascii="Times New Roman" w:hAnsi="Times New Roman"/>
          <w:i/>
          <w:lang w:val="nl-NL"/>
        </w:rPr>
        <w:t>Fund administration fee – Standard Chartered Bank (Vietnam) Limited</w:t>
      </w:r>
    </w:p>
    <w:p w14:paraId="0B5AF670" w14:textId="1931898C" w:rsidR="00946695" w:rsidRDefault="00946695"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trị Quỹ là không phẩy không b</w:t>
      </w:r>
      <w:r w:rsidR="00E879FA" w:rsidRPr="00A36643">
        <w:rPr>
          <w:rFonts w:ascii="Times New Roman" w:hAnsi="Times New Roman"/>
          <w:lang w:val="nl-NL"/>
        </w:rPr>
        <w:t>a</w:t>
      </w:r>
      <w:r w:rsidRPr="00A36643">
        <w:rPr>
          <w:rFonts w:ascii="Times New Roman" w:hAnsi="Times New Roman"/>
          <w:lang w:val="nl-NL"/>
        </w:rPr>
        <w:t xml:space="preserve"> phần trăm (0,03%) một năm trên Giá Trị Tài Sản Ròng của Quỹ, mức phí tối thiểu là hai mươi </w:t>
      </w:r>
      <w:r w:rsidR="009D3E9F" w:rsidRPr="00A36643">
        <w:rPr>
          <w:rFonts w:ascii="Times New Roman" w:hAnsi="Times New Roman"/>
          <w:lang w:val="nl-NL"/>
        </w:rPr>
        <w:t xml:space="preserve">bảy </w:t>
      </w:r>
      <w:r w:rsidRPr="00A36643">
        <w:rPr>
          <w:rFonts w:ascii="Times New Roman" w:hAnsi="Times New Roman"/>
          <w:lang w:val="nl-NL"/>
        </w:rPr>
        <w:t>triệu (2</w:t>
      </w:r>
      <w:r w:rsidR="004861A0" w:rsidRPr="00A36643">
        <w:rPr>
          <w:rFonts w:ascii="Times New Roman" w:hAnsi="Times New Roman"/>
          <w:lang w:val="nl-NL"/>
        </w:rPr>
        <w:t>7</w:t>
      </w:r>
      <w:r w:rsidRPr="00A36643">
        <w:rPr>
          <w:rFonts w:ascii="Times New Roman" w:hAnsi="Times New Roman"/>
          <w:lang w:val="nl-NL"/>
        </w:rPr>
        <w:t>.000.000) đồng một (01) tháng.</w:t>
      </w:r>
    </w:p>
    <w:p w14:paraId="1C7673F0" w14:textId="757ECFF4"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 xml:space="preserve">Fund adminstration fee is </w:t>
      </w:r>
      <w:r w:rsidR="00F76535">
        <w:rPr>
          <w:rFonts w:ascii="Times New Roman" w:hAnsi="Times New Roman"/>
          <w:i/>
          <w:iCs/>
          <w:lang w:val="nl-NL"/>
        </w:rPr>
        <w:t>zero point zero three percent (</w:t>
      </w:r>
      <w:r>
        <w:rPr>
          <w:rFonts w:ascii="Times New Roman" w:hAnsi="Times New Roman"/>
          <w:i/>
          <w:iCs/>
          <w:lang w:val="nl-NL"/>
        </w:rPr>
        <w:t>0.03%</w:t>
      </w:r>
      <w:r w:rsidR="00F76535">
        <w:rPr>
          <w:rFonts w:ascii="Times New Roman" w:hAnsi="Times New Roman"/>
          <w:i/>
          <w:iCs/>
          <w:lang w:val="nl-NL"/>
        </w:rPr>
        <w:t>)</w:t>
      </w:r>
      <w:r>
        <w:rPr>
          <w:rFonts w:ascii="Times New Roman" w:hAnsi="Times New Roman"/>
          <w:i/>
          <w:iCs/>
          <w:lang w:val="nl-NL"/>
        </w:rPr>
        <w:t xml:space="preserve"> p.a. of the Net asset value, with a monthly minimum fee at </w:t>
      </w:r>
      <w:r w:rsidR="00A53F9D">
        <w:rPr>
          <w:rFonts w:ascii="Times New Roman" w:hAnsi="Times New Roman"/>
          <w:i/>
          <w:iCs/>
          <w:lang w:val="nl-NL"/>
        </w:rPr>
        <w:t>twenty-seven</w:t>
      </w:r>
      <w:r>
        <w:rPr>
          <w:rFonts w:ascii="Times New Roman" w:hAnsi="Times New Roman"/>
          <w:i/>
          <w:iCs/>
          <w:lang w:val="nl-NL"/>
        </w:rPr>
        <w:t xml:space="preserve"> million dongs (VND </w:t>
      </w:r>
      <w:r w:rsidR="00A53F9D">
        <w:rPr>
          <w:rFonts w:ascii="Times New Roman" w:hAnsi="Times New Roman"/>
          <w:i/>
          <w:iCs/>
          <w:lang w:val="nl-NL"/>
        </w:rPr>
        <w:t>27</w:t>
      </w:r>
      <w:r>
        <w:rPr>
          <w:rFonts w:ascii="Times New Roman" w:hAnsi="Times New Roman"/>
          <w:i/>
          <w:iCs/>
          <w:lang w:val="nl-NL"/>
        </w:rPr>
        <w:t>,000,000).</w:t>
      </w:r>
    </w:p>
    <w:p w14:paraId="21F96EE7" w14:textId="7232BF69" w:rsidR="00D26008" w:rsidRDefault="00946695">
      <w:pPr>
        <w:spacing w:before="120" w:after="120"/>
        <w:ind w:left="709"/>
        <w:jc w:val="both"/>
        <w:rPr>
          <w:rFonts w:ascii="Times New Roman" w:hAnsi="Times New Roman"/>
          <w:lang w:val="nl-NL"/>
        </w:rPr>
      </w:pPr>
      <w:r w:rsidRPr="00A36643">
        <w:rPr>
          <w:rFonts w:ascii="Times New Roman" w:hAnsi="Times New Roman"/>
          <w:lang w:val="nl-NL"/>
        </w:rPr>
        <w:t xml:space="preserve">Các mức giá dịch vụ trên chưa bao gồm thuế giá trị gia tăng và các chi phí ngoài thông thường, bao gồm nhưng không giới hạn chi phí thanh toán cho </w:t>
      </w:r>
      <w:r w:rsidR="00A02581">
        <w:rPr>
          <w:rFonts w:ascii="Times New Roman" w:hAnsi="Times New Roman"/>
          <w:lang w:val="nl-NL"/>
        </w:rPr>
        <w:t>VSDC</w:t>
      </w:r>
      <w:r w:rsidRPr="00A36643">
        <w:rPr>
          <w:rFonts w:ascii="Times New Roman" w:hAnsi="Times New Roman"/>
          <w:lang w:val="nl-NL"/>
        </w:rPr>
        <w:t>, chi phí pháp lý và chi phí tem thư.</w:t>
      </w:r>
    </w:p>
    <w:p w14:paraId="49D5259D" w14:textId="1FE60AD2" w:rsidR="00FB2E13" w:rsidRDefault="00A53F9D">
      <w:pPr>
        <w:spacing w:before="120" w:after="120"/>
        <w:ind w:left="709"/>
        <w:jc w:val="both"/>
        <w:rPr>
          <w:rFonts w:ascii="Times New Roman" w:hAnsi="Times New Roman"/>
          <w:i/>
          <w:iCs/>
          <w:lang w:val="nl-NL"/>
        </w:rPr>
      </w:pPr>
      <w:r w:rsidRPr="00A53F9D">
        <w:rPr>
          <w:rFonts w:ascii="Times New Roman" w:hAnsi="Times New Roman"/>
          <w:i/>
          <w:iCs/>
          <w:lang w:val="nl-NL"/>
        </w:rPr>
        <w:t>The above-mentioned fees are</w:t>
      </w:r>
      <w:r>
        <w:rPr>
          <w:rFonts w:ascii="Times New Roman" w:hAnsi="Times New Roman"/>
          <w:i/>
          <w:iCs/>
          <w:lang w:val="nl-NL"/>
        </w:rPr>
        <w:t xml:space="preserve"> exclusive of VAT and out-of-pocket expenses, including but not limited to </w:t>
      </w:r>
      <w:r w:rsidR="00C13542">
        <w:rPr>
          <w:rFonts w:ascii="Times New Roman" w:hAnsi="Times New Roman"/>
          <w:i/>
          <w:iCs/>
          <w:lang w:val="nl-NL"/>
        </w:rPr>
        <w:t xml:space="preserve">expenses paid to </w:t>
      </w:r>
      <w:r w:rsidR="00A02581">
        <w:rPr>
          <w:rFonts w:ascii="Times New Roman" w:hAnsi="Times New Roman"/>
          <w:lang w:val="nl-NL"/>
        </w:rPr>
        <w:t>VSDC</w:t>
      </w:r>
      <w:r w:rsidR="00C13542">
        <w:rPr>
          <w:rFonts w:ascii="Times New Roman" w:hAnsi="Times New Roman"/>
          <w:i/>
          <w:iCs/>
          <w:lang w:val="nl-NL"/>
        </w:rPr>
        <w:t>, legal and postage expenses.</w:t>
      </w:r>
    </w:p>
    <w:p w14:paraId="64CCA4E4" w14:textId="77777777" w:rsidR="00FB2E13" w:rsidRDefault="00FB2E13">
      <w:pPr>
        <w:spacing w:after="0" w:line="240" w:lineRule="auto"/>
        <w:rPr>
          <w:rFonts w:ascii="Times New Roman" w:hAnsi="Times New Roman"/>
          <w:i/>
          <w:iCs/>
          <w:lang w:val="nl-NL"/>
        </w:rPr>
      </w:pPr>
      <w:r>
        <w:rPr>
          <w:rFonts w:ascii="Times New Roman" w:hAnsi="Times New Roman"/>
          <w:i/>
          <w:iCs/>
          <w:lang w:val="nl-NL"/>
        </w:rPr>
        <w:br w:type="page"/>
      </w:r>
    </w:p>
    <w:p w14:paraId="55A66D38" w14:textId="464E75F1" w:rsidR="00337153" w:rsidRPr="00B32485" w:rsidRDefault="0059109E"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lastRenderedPageBreak/>
        <w:t>Thuế</w:t>
      </w:r>
    </w:p>
    <w:p w14:paraId="4B0F8307" w14:textId="2AA5529C" w:rsidR="00B32485" w:rsidRPr="00B32485" w:rsidRDefault="00B32485" w:rsidP="00B32485">
      <w:pPr>
        <w:pStyle w:val="ListParagraph"/>
        <w:spacing w:before="120" w:after="120"/>
        <w:ind w:left="706"/>
        <w:contextualSpacing w:val="0"/>
        <w:jc w:val="both"/>
        <w:rPr>
          <w:rFonts w:ascii="Times New Roman" w:hAnsi="Times New Roman"/>
          <w:b/>
          <w:bCs/>
          <w:i/>
          <w:lang w:val="nl-NL"/>
        </w:rPr>
      </w:pPr>
      <w:r w:rsidRPr="00B32485">
        <w:rPr>
          <w:rFonts w:ascii="Times New Roman" w:hAnsi="Times New Roman"/>
          <w:b/>
          <w:bCs/>
          <w:i/>
          <w:lang w:val="nl-NL"/>
        </w:rPr>
        <w:t>Taxation</w:t>
      </w:r>
    </w:p>
    <w:p w14:paraId="6CB8D130" w14:textId="7E57C29E" w:rsidR="00337153"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các quy định thuế hiện hành tại Việt Nam, Quỹ không thuộc đối tượng chịu thuế thu nhập doanh nghiệp (“TNDN”). Tuy nhiên, Công ty Quản lý Quỹ có trách nhiệm khấu trừ và nộp thuế thay cho các cá nhân và tổ chức đầu tư trong các giao dịch sau</w:t>
      </w:r>
      <w:r w:rsidR="0059109E" w:rsidRPr="00A36643">
        <w:rPr>
          <w:rFonts w:ascii="Times New Roman" w:eastAsia="Times New Roman" w:hAnsi="Times New Roman"/>
          <w:bCs/>
          <w:lang w:val="nl-NL"/>
        </w:rPr>
        <w:t>:</w:t>
      </w:r>
    </w:p>
    <w:p w14:paraId="07D21EC3" w14:textId="22F2DFF4" w:rsidR="005964F3" w:rsidRPr="005964F3" w:rsidRDefault="005964F3" w:rsidP="005964F3">
      <w:pPr>
        <w:spacing w:before="120" w:after="120"/>
        <w:ind w:left="709"/>
        <w:jc w:val="both"/>
        <w:rPr>
          <w:rFonts w:ascii="Times New Roman" w:eastAsia="Times New Roman" w:hAnsi="Times New Roman"/>
          <w:i/>
          <w:iCs/>
          <w:lang w:val="nl-NL"/>
        </w:rPr>
      </w:pPr>
      <w:r w:rsidRPr="005964F3">
        <w:rPr>
          <w:rFonts w:ascii="Times New Roman" w:eastAsia="Times New Roman" w:hAnsi="Times New Roman"/>
          <w:i/>
          <w:iCs/>
          <w:lang w:val="nl-NL"/>
        </w:rPr>
        <w:t>Under the applicable Vietnamese tax regulations, the Fund is not subject to corporate income tax (“CIT”). However, the Fund Management Company is responsible for withholding and paying tax on behalf of individual and corporate investors in the following cases:</w:t>
      </w:r>
    </w:p>
    <w:p w14:paraId="2AE31CAD" w14:textId="4A5DD73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trả cổ tức cho nhà đầu tư</w:t>
      </w:r>
    </w:p>
    <w:p w14:paraId="0D15C9D9" w14:textId="1EA6138F" w:rsidR="005964F3" w:rsidRPr="00A36643" w:rsidRDefault="002B5140" w:rsidP="00232121">
      <w:pPr>
        <w:pStyle w:val="ListParagraph"/>
        <w:spacing w:before="120" w:after="120"/>
        <w:ind w:left="709"/>
        <w:contextualSpacing w:val="0"/>
        <w:jc w:val="both"/>
        <w:rPr>
          <w:rFonts w:ascii="Times New Roman" w:hAnsi="Times New Roman"/>
          <w:b/>
          <w:i/>
          <w:lang w:val="nl-NL"/>
        </w:rPr>
      </w:pPr>
      <w:r w:rsidRPr="002B5140">
        <w:rPr>
          <w:rFonts w:ascii="Times New Roman" w:hAnsi="Times New Roman"/>
          <w:b/>
          <w:i/>
          <w:lang w:val="nl-NL"/>
        </w:rPr>
        <w:t>Distribution of dividends to fund unitholders</w:t>
      </w:r>
    </w:p>
    <w:p w14:paraId="0533B75B" w14:textId="505BC7CB"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Khi Quỹ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c cho nhà </w:t>
      </w:r>
      <w:r w:rsidRPr="00A36643">
        <w:rPr>
          <w:rFonts w:ascii="Times New Roman" w:eastAsia="Times New Roman" w:hAnsi="Times New Roman" w:hint="eastAsia"/>
          <w:bCs/>
          <w:lang w:val="nl-NL"/>
        </w:rPr>
        <w:t>đầ</w:t>
      </w:r>
      <w:r w:rsidRPr="00A36643">
        <w:rPr>
          <w:rFonts w:ascii="Times New Roman" w:eastAsia="Times New Roman" w:hAnsi="Times New Roman"/>
          <w:bCs/>
          <w:lang w:val="nl-NL"/>
        </w:rPr>
        <w:t>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Công ty Quản lý Quỹ phải tuân thủ quy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ịnh khấu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và nộp thuế theo Thông tư số 78/2014/TT-BTC ngày 18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2014 (“Thông tư số 78/2014/TT-BTC”)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96/2015/TT-BTC ngày 22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và Thông tư số 111/2013/TT-BTC ngày 15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2013 (“Thông tư số 111/2013/TT-BTC”)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92/2015/TT-BTC ngày 15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(“Thông tư số 92/2015/TT-BTC”) do Bộ Tài chính ban hành và Công v</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n số 10945/BTC-TCT ngày 19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2010 của Tổng Cục Thuế về chính sách thuế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 xml:space="preserve">ối với việc chia cổ tức cho tổ chức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w:t>
      </w:r>
    </w:p>
    <w:p w14:paraId="6C0C8CC3" w14:textId="221A94E1" w:rsidR="002B5140" w:rsidRPr="00E46AE9" w:rsidRDefault="00E46AE9" w:rsidP="00E46AE9">
      <w:pPr>
        <w:spacing w:before="120" w:after="120"/>
        <w:ind w:left="709"/>
        <w:jc w:val="both"/>
        <w:rPr>
          <w:rFonts w:ascii="Times New Roman" w:eastAsia="Times New Roman" w:hAnsi="Times New Roman"/>
          <w:i/>
          <w:iCs/>
          <w:lang w:val="nl-NL"/>
        </w:rPr>
      </w:pPr>
      <w:r w:rsidRPr="00E46AE9">
        <w:rPr>
          <w:rFonts w:ascii="Times New Roman" w:eastAsia="Times New Roman" w:hAnsi="Times New Roman"/>
          <w:i/>
          <w:iCs/>
          <w:lang w:val="nl-NL"/>
        </w:rPr>
        <w:t>When the Fund distributes dividends to fund unitholders, the Fund Management Company is required to comply with Circular 78/2014/TT-BTC dated 18 June 2014 (“Circular 78/2014/TT-BTC”) amended by Circular 96/2015/TT-BTC dated 22 June 2015 as well as Circular 111/2013/TT-BTC dated 15 August 2013 (“Circular 111/2013/TT-BTC”) amended by Circular 92/2015/TT-BTC dated 15 June 2015 (“Circular 92/2015/TT-BTC”) issued by the Ministry of Finance and Official Letter No. 10945/BTC-TCT dated 19 August 2010 issued by the Ministry of Finance regarding tax policy on profits distributions to corporate fund unitholders.</w:t>
      </w:r>
    </w:p>
    <w:p w14:paraId="2C0DDC67" w14:textId="51D2139D"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đó, khi Quỹ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cho các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ớc,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chịu trách nhiệm kê khai và nộp thuế phát sinh từ khoản cổ tức đó. Khi Quỹ trả cổ tức cho tổ chức đầu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ngoài, Công ty Quản lý Quỹ cần khấu trừ thuế TNDN cổ tức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phân phối (ngoại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phần lợi nhuận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 xml:space="preserve">c phân phối đã chịu thuế TNDN </w:t>
      </w:r>
      <w:r w:rsidRPr="00A36643">
        <w:rPr>
          <w:rFonts w:ascii="Times New Roman" w:eastAsia="Times New Roman" w:hAnsi="Times New Roman" w:hint="eastAsia"/>
          <w:bCs/>
          <w:lang w:val="nl-NL"/>
        </w:rPr>
        <w:t>ở</w:t>
      </w:r>
      <w:r w:rsidRPr="00A36643">
        <w:rPr>
          <w:rFonts w:ascii="Times New Roman" w:eastAsia="Times New Roman" w:hAnsi="Times New Roman"/>
          <w:bCs/>
          <w:lang w:val="nl-NL"/>
        </w:rPr>
        <w:t xml:space="preserve"> khâu tr</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và lãi trái phiếu thu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trái phiếu thuộc diện miễn thuế theo quy định của pháp luật hiện hành).</w:t>
      </w:r>
    </w:p>
    <w:p w14:paraId="03475B0F" w14:textId="637D0CF0" w:rsidR="007D0E27" w:rsidRPr="007D0E27" w:rsidRDefault="007D0E27" w:rsidP="007D0E27">
      <w:pPr>
        <w:spacing w:before="120" w:after="120"/>
        <w:ind w:left="709"/>
        <w:jc w:val="both"/>
        <w:rPr>
          <w:rFonts w:ascii="Times New Roman" w:eastAsia="Times New Roman" w:hAnsi="Times New Roman"/>
          <w:i/>
          <w:iCs/>
          <w:lang w:val="nl-NL"/>
        </w:rPr>
      </w:pPr>
      <w:r w:rsidRPr="007D0E27">
        <w:rPr>
          <w:rFonts w:ascii="Times New Roman" w:eastAsia="Times New Roman" w:hAnsi="Times New Roman"/>
          <w:i/>
          <w:iCs/>
          <w:lang w:val="nl-NL"/>
        </w:rPr>
        <w:t>Accordingly, when the Fund distributes dividends to local corporate fund unitholders, such local corporate fund unitholders are responsible for tax declaration and payment obligations arising thereon as regulated. When the Fund distributes dividends to foreign corporate fund unitholders, the Fund Management Company is required to withhold and pay CIT on the distributed dividends (excluding the Fund’s distribution of after-tax profits and bond interest earned from tax-free bonds in accordance with the applicable regulations) on their behalf.</w:t>
      </w:r>
    </w:p>
    <w:p w14:paraId="65CFD709" w14:textId="3EDB3A51" w:rsidR="00337153" w:rsidRDefault="002939BE" w:rsidP="002939BE">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 xml:space="preserve">Khi trả cổ tức cho nhà đầu tư cá nhân (cả cá nhân cư trú và cá nhân không cư trú), Công ty Quản lý Quỹ có trách nhiệm khấu trừ số thuế thu nhập cá nhân đối với thu nhập từ đầu tư vốn bằng </w:t>
      </w:r>
      <w:r w:rsidR="00F76535">
        <w:rPr>
          <w:rFonts w:ascii="Times New Roman" w:eastAsia="Times New Roman" w:hAnsi="Times New Roman"/>
          <w:bCs/>
          <w:lang w:val="nl-NL"/>
        </w:rPr>
        <w:t>năm phần trăm (</w:t>
      </w:r>
      <w:r w:rsidRPr="00A36643">
        <w:rPr>
          <w:rFonts w:ascii="Times New Roman" w:eastAsia="Times New Roman" w:hAnsi="Times New Roman"/>
          <w:bCs/>
          <w:lang w:val="nl-NL"/>
        </w:rPr>
        <w:t>5%</w:t>
      </w:r>
      <w:r w:rsidR="00F76535">
        <w:rPr>
          <w:rFonts w:ascii="Times New Roman" w:eastAsia="Times New Roman" w:hAnsi="Times New Roman"/>
          <w:bCs/>
          <w:lang w:val="nl-NL"/>
        </w:rPr>
        <w:t>)</w:t>
      </w:r>
      <w:r w:rsidRPr="00A36643">
        <w:rPr>
          <w:rFonts w:ascii="Times New Roman" w:eastAsia="Times New Roman" w:hAnsi="Times New Roman"/>
          <w:bCs/>
          <w:lang w:val="nl-NL"/>
        </w:rPr>
        <w:t xml:space="preserve"> cổ tức được phân phối.</w:t>
      </w:r>
    </w:p>
    <w:p w14:paraId="4AE3110B" w14:textId="57A23445" w:rsidR="007D0E27" w:rsidRPr="00C42623" w:rsidRDefault="00C42623" w:rsidP="00C42623">
      <w:pPr>
        <w:spacing w:before="120" w:after="120"/>
        <w:ind w:left="709"/>
        <w:jc w:val="both"/>
        <w:rPr>
          <w:rFonts w:ascii="Times New Roman" w:eastAsia="Times New Roman" w:hAnsi="Times New Roman"/>
          <w:i/>
          <w:iCs/>
          <w:lang w:val="nl-NL"/>
        </w:rPr>
      </w:pPr>
      <w:r w:rsidRPr="00C42623">
        <w:rPr>
          <w:rFonts w:ascii="Times New Roman" w:eastAsia="Times New Roman" w:hAnsi="Times New Roman"/>
          <w:i/>
          <w:iCs/>
          <w:lang w:val="nl-NL"/>
        </w:rPr>
        <w:t xml:space="preserve">When the Fund distributes dividends to individual fund unitholders (both residents and non-residents), the Fund Management Company is required to withhold and pay </w:t>
      </w:r>
      <w:r w:rsidR="00F76535">
        <w:rPr>
          <w:rFonts w:ascii="Times New Roman" w:eastAsia="Times New Roman" w:hAnsi="Times New Roman"/>
          <w:i/>
          <w:iCs/>
          <w:lang w:val="nl-NL"/>
        </w:rPr>
        <w:t>five percent (</w:t>
      </w:r>
      <w:r w:rsidRPr="00C42623">
        <w:rPr>
          <w:rFonts w:ascii="Times New Roman" w:eastAsia="Times New Roman" w:hAnsi="Times New Roman"/>
          <w:i/>
          <w:iCs/>
          <w:lang w:val="nl-NL"/>
        </w:rPr>
        <w:t>5%</w:t>
      </w:r>
      <w:r w:rsidR="00F76535">
        <w:rPr>
          <w:rFonts w:ascii="Times New Roman" w:eastAsia="Times New Roman" w:hAnsi="Times New Roman"/>
          <w:i/>
          <w:iCs/>
          <w:lang w:val="nl-NL"/>
        </w:rPr>
        <w:t>)</w:t>
      </w:r>
      <w:r w:rsidRPr="00C42623">
        <w:rPr>
          <w:rFonts w:ascii="Times New Roman" w:eastAsia="Times New Roman" w:hAnsi="Times New Roman"/>
          <w:i/>
          <w:iCs/>
          <w:lang w:val="nl-NL"/>
        </w:rPr>
        <w:t xml:space="preserve"> personal income tax on the distributed dividends on their behalf.</w:t>
      </w:r>
    </w:p>
    <w:p w14:paraId="5A176768" w14:textId="64FEDBF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mua lại chứng chỉ quỹ</w:t>
      </w:r>
    </w:p>
    <w:p w14:paraId="20490D90" w14:textId="5E2EEA51" w:rsidR="007F3BA6" w:rsidRPr="00A36643" w:rsidRDefault="007F3BA6" w:rsidP="00232121">
      <w:pPr>
        <w:pStyle w:val="ListParagraph"/>
        <w:spacing w:before="120" w:after="120"/>
        <w:ind w:left="709"/>
        <w:contextualSpacing w:val="0"/>
        <w:jc w:val="both"/>
        <w:rPr>
          <w:rFonts w:ascii="Times New Roman" w:hAnsi="Times New Roman"/>
          <w:b/>
          <w:i/>
          <w:lang w:val="nl-NL"/>
        </w:rPr>
      </w:pPr>
      <w:r w:rsidRPr="005C1483">
        <w:rPr>
          <w:rFonts w:ascii="Times New Roman" w:hAnsi="Times New Roman"/>
          <w:b/>
          <w:i/>
          <w:lang w:val="nl-NL"/>
        </w:rPr>
        <w:t xml:space="preserve">Redemption of fund </w:t>
      </w:r>
      <w:r w:rsidR="005C1483">
        <w:rPr>
          <w:rFonts w:ascii="Times New Roman" w:hAnsi="Times New Roman"/>
          <w:b/>
          <w:i/>
          <w:lang w:val="nl-NL"/>
        </w:rPr>
        <w:t>units</w:t>
      </w:r>
    </w:p>
    <w:p w14:paraId="4EE6DE37" w14:textId="13104D1E" w:rsidR="00A43A57"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Công ty Quản lý Quỹ có nghĩa vụ khấu trừ thuế đối với giao dịch mua lại chứng chỉ quỹ từ cá nhân (cư trú và không cư trú) và những tổ chức được phân loại là tổ chức nước ngoài theo Thông tư 111/2013/TT-</w:t>
      </w:r>
      <w:r w:rsidRPr="00A36643">
        <w:rPr>
          <w:rFonts w:ascii="Times New Roman" w:eastAsia="Times New Roman" w:hAnsi="Times New Roman"/>
          <w:bCs/>
          <w:lang w:val="nl-NL"/>
        </w:rPr>
        <w:lastRenderedPageBreak/>
        <w:t xml:space="preserve">BTC được sửa đổi bổ sung bởi Thông tư 92/2015/TT-BTC, Thông tư 25/2018/TT-BTC ngày 16 tháng 3 năm 2018 và Thông tư 103/2014/TT-BTC ngày 6 tháng 8 năm 2014 do Bộ Tài chính ban hành. Mức thuế áp dụng là </w:t>
      </w:r>
      <w:r w:rsidR="00F76535">
        <w:rPr>
          <w:rFonts w:ascii="Times New Roman" w:eastAsia="Times New Roman" w:hAnsi="Times New Roman"/>
          <w:bCs/>
          <w:lang w:val="nl-NL"/>
        </w:rPr>
        <w:t>không phẩy một phần trăm (</w:t>
      </w:r>
      <w:r w:rsidRPr="00A36643">
        <w:rPr>
          <w:rFonts w:ascii="Times New Roman" w:eastAsia="Times New Roman" w:hAnsi="Times New Roman"/>
          <w:bCs/>
          <w:lang w:val="nl-NL"/>
        </w:rPr>
        <w:t>0,1%</w:t>
      </w:r>
      <w:r w:rsidR="00F76535">
        <w:rPr>
          <w:rFonts w:ascii="Times New Roman" w:eastAsia="Times New Roman" w:hAnsi="Times New Roman"/>
          <w:bCs/>
          <w:lang w:val="nl-NL"/>
        </w:rPr>
        <w:t>)</w:t>
      </w:r>
      <w:r w:rsidRPr="00A36643">
        <w:rPr>
          <w:rFonts w:ascii="Times New Roman" w:eastAsia="Times New Roman" w:hAnsi="Times New Roman"/>
          <w:bCs/>
          <w:lang w:val="nl-NL"/>
        </w:rPr>
        <w:t xml:space="preserve"> giá trị chuyển nhượng. Công ty Quản lý Quỹ sẽ không phải khấu trừ thuế và nộp thuế đối với các giao dịch mua lại chứng chỉ quỹ từ nhà đầu tư là tổ chức trong nước. Các nhà đầu tư là tổ chức trong nước có trách nhiệm tự kê khai và nộp thuế TNDN theo Thông tư 78/2014/TT-BTC được sửa đổi bổ sung theo Thông tư 96/2015/TT-BTC ngày 22 tháng 6 năm 2015</w:t>
      </w:r>
      <w:r w:rsidR="00E879FA" w:rsidRPr="00A36643">
        <w:rPr>
          <w:rFonts w:ascii="Times New Roman" w:eastAsia="Times New Roman" w:hAnsi="Times New Roman"/>
          <w:bCs/>
          <w:lang w:val="nl-NL"/>
        </w:rPr>
        <w:t>.</w:t>
      </w:r>
    </w:p>
    <w:p w14:paraId="12D8EDD5" w14:textId="205F489B" w:rsidR="00586B53" w:rsidRPr="00586B53" w:rsidRDefault="00586B53" w:rsidP="00586B53">
      <w:pPr>
        <w:spacing w:before="120" w:after="120"/>
        <w:ind w:left="709"/>
        <w:jc w:val="both"/>
        <w:rPr>
          <w:rFonts w:ascii="Times New Roman" w:eastAsia="Times New Roman" w:hAnsi="Times New Roman"/>
          <w:i/>
          <w:iCs/>
          <w:lang w:val="nl-NL"/>
        </w:rPr>
      </w:pPr>
      <w:r w:rsidRPr="00586B53">
        <w:rPr>
          <w:rFonts w:ascii="Times New Roman" w:eastAsia="Times New Roman" w:hAnsi="Times New Roman"/>
          <w:i/>
          <w:iCs/>
          <w:lang w:val="nl-NL"/>
        </w:rPr>
        <w:t xml:space="preserve">The Fund Management Company is required to withhold and pay tax when it redeems its </w:t>
      </w:r>
      <w:r>
        <w:rPr>
          <w:rFonts w:ascii="Times New Roman" w:eastAsia="Times New Roman" w:hAnsi="Times New Roman"/>
          <w:i/>
          <w:iCs/>
          <w:lang w:val="nl-NL"/>
        </w:rPr>
        <w:t>fund units</w:t>
      </w:r>
      <w:r w:rsidRPr="00586B53">
        <w:rPr>
          <w:rFonts w:ascii="Times New Roman" w:eastAsia="Times New Roman" w:hAnsi="Times New Roman"/>
          <w:i/>
          <w:iCs/>
          <w:lang w:val="nl-NL"/>
        </w:rPr>
        <w:t xml:space="preserve"> from individual fund unitholders (both residents and non-residents) and foreign corporate fund unitholders on their behalf according to Circular 111/2013/TT-BTC amended by Circular 92/2015/TT-BTC, Circular 25/2018/TT-BTC dated 16 March 2018 and Circular 103/2014/TT-BTC dated 6 August 2014 issued by the Ministry of Finance. The tax rate is </w:t>
      </w:r>
      <w:r w:rsidR="00F76535">
        <w:rPr>
          <w:rFonts w:ascii="Times New Roman" w:eastAsia="Times New Roman" w:hAnsi="Times New Roman"/>
          <w:i/>
          <w:iCs/>
          <w:lang w:val="nl-NL"/>
        </w:rPr>
        <w:t>zero point one percent (</w:t>
      </w:r>
      <w:r w:rsidRPr="00586B53">
        <w:rPr>
          <w:rFonts w:ascii="Times New Roman" w:eastAsia="Times New Roman" w:hAnsi="Times New Roman"/>
          <w:i/>
          <w:iCs/>
          <w:lang w:val="nl-NL"/>
        </w:rPr>
        <w:t>0.1%</w:t>
      </w:r>
      <w:r w:rsidR="00F76535">
        <w:rPr>
          <w:rFonts w:ascii="Times New Roman" w:eastAsia="Times New Roman" w:hAnsi="Times New Roman"/>
          <w:i/>
          <w:iCs/>
          <w:lang w:val="nl-NL"/>
        </w:rPr>
        <w:t>)</w:t>
      </w:r>
      <w:r w:rsidRPr="00586B53">
        <w:rPr>
          <w:rFonts w:ascii="Times New Roman" w:eastAsia="Times New Roman" w:hAnsi="Times New Roman"/>
          <w:i/>
          <w:iCs/>
          <w:lang w:val="nl-NL"/>
        </w:rPr>
        <w:t xml:space="preserve"> on the redemption proceeds. The Fund Management Company is not responsible for withholding and paying CIT on redemption proceeds paid to local corporate fund unitholders. These local corporate fund unitholders are responsible for their own CIT declaration and payment obligations according to Circular 78/2014/TT-BTC amended by Circular 96/2015/TT-BTC dated 22 June 2015.</w:t>
      </w:r>
    </w:p>
    <w:p w14:paraId="1FEDDA69" w14:textId="37D7F765" w:rsidR="00064D1A" w:rsidRDefault="00064D1A" w:rsidP="00232121">
      <w:pPr>
        <w:pStyle w:val="ListParagraph"/>
        <w:numPr>
          <w:ilvl w:val="1"/>
          <w:numId w:val="2"/>
        </w:numPr>
        <w:spacing w:before="120" w:after="120"/>
        <w:ind w:left="706" w:hanging="709"/>
        <w:contextualSpacing w:val="0"/>
        <w:jc w:val="both"/>
        <w:rPr>
          <w:rFonts w:ascii="Times New Roman" w:hAnsi="Times New Roman"/>
          <w:b/>
          <w:bCs/>
          <w:iCs/>
          <w:lang w:val="nl-NL"/>
        </w:rPr>
      </w:pPr>
      <w:r w:rsidRPr="00A36643">
        <w:rPr>
          <w:rFonts w:ascii="Times New Roman" w:hAnsi="Times New Roman"/>
          <w:b/>
          <w:bCs/>
          <w:iCs/>
          <w:lang w:val="nl-NL"/>
        </w:rPr>
        <w:t>Số dư bằng không</w:t>
      </w:r>
    </w:p>
    <w:p w14:paraId="733AB5E1" w14:textId="79FEB368" w:rsidR="00095DF5" w:rsidRPr="00095DF5" w:rsidRDefault="00095DF5" w:rsidP="00095DF5">
      <w:pPr>
        <w:pStyle w:val="ListParagraph"/>
        <w:spacing w:before="120" w:after="120"/>
        <w:ind w:left="706"/>
        <w:contextualSpacing w:val="0"/>
        <w:jc w:val="both"/>
        <w:rPr>
          <w:rFonts w:ascii="Times New Roman" w:hAnsi="Times New Roman"/>
          <w:b/>
          <w:bCs/>
          <w:i/>
          <w:lang w:val="nl-NL"/>
        </w:rPr>
      </w:pPr>
      <w:r>
        <w:rPr>
          <w:rFonts w:ascii="Times New Roman" w:hAnsi="Times New Roman"/>
          <w:b/>
          <w:bCs/>
          <w:i/>
          <w:lang w:val="nl-NL"/>
        </w:rPr>
        <w:t>Nil balances</w:t>
      </w:r>
    </w:p>
    <w:p w14:paraId="3446EDB7" w14:textId="3B35A800" w:rsidR="00835C28" w:rsidRDefault="00064D1A" w:rsidP="00232121">
      <w:pPr>
        <w:pStyle w:val="ListParagraph"/>
        <w:spacing w:before="120" w:after="120"/>
        <w:ind w:left="706"/>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Các khoản mục hay số dư được quy định trong Thông tư 198/2012/TT-BTC không được thể hiện trong báo cáo tài chính này thì được hiểu là có số dư bằng không.</w:t>
      </w:r>
    </w:p>
    <w:p w14:paraId="147ACE5C" w14:textId="6180F41B" w:rsidR="00095DF5" w:rsidRPr="00F81FCE" w:rsidRDefault="00F81FCE" w:rsidP="00F81FCE">
      <w:pPr>
        <w:spacing w:before="120" w:after="120"/>
        <w:ind w:left="709"/>
        <w:jc w:val="both"/>
        <w:rPr>
          <w:rFonts w:ascii="Times New Roman" w:eastAsia="Times New Roman" w:hAnsi="Times New Roman"/>
          <w:i/>
          <w:iCs/>
          <w:lang w:val="nl-NL"/>
        </w:rPr>
      </w:pPr>
      <w:r w:rsidRPr="00F81FCE">
        <w:rPr>
          <w:rFonts w:ascii="Times New Roman" w:eastAsia="Times New Roman" w:hAnsi="Times New Roman"/>
          <w:i/>
          <w:iCs/>
          <w:lang w:val="nl-NL"/>
        </w:rPr>
        <w:t>Items or balances required by Circular 198/2012/TT-BTC that are not presented in these financial statements indicate nil balance.</w:t>
      </w:r>
    </w:p>
    <w:p w14:paraId="09E7D13B" w14:textId="3A91B67C" w:rsidR="00337153" w:rsidRDefault="00214F79" w:rsidP="00232121">
      <w:pPr>
        <w:numPr>
          <w:ilvl w:val="0"/>
          <w:numId w:val="2"/>
        </w:numPr>
        <w:spacing w:before="120" w:after="120"/>
        <w:ind w:left="0" w:firstLine="0"/>
        <w:jc w:val="both"/>
        <w:rPr>
          <w:rFonts w:ascii="Times New Roman" w:eastAsia="Times New Roman" w:hAnsi="Times New Roman"/>
          <w:b/>
          <w:bCs/>
          <w:lang w:val="nl-NL"/>
        </w:rPr>
      </w:pPr>
      <w:r w:rsidRPr="00253D8D">
        <w:rPr>
          <w:rFonts w:ascii="Times New Roman" w:eastAsia="Times New Roman" w:hAnsi="Times New Roman"/>
          <w:b/>
          <w:bCs/>
          <w:lang w:val="nl-NL"/>
        </w:rPr>
        <w:t>Thông tin bổ sung cho các báo cáo tài chính</w:t>
      </w:r>
    </w:p>
    <w:p w14:paraId="03127A02" w14:textId="35DD9990" w:rsidR="007D2267" w:rsidRPr="007D2267" w:rsidRDefault="007D2267" w:rsidP="007D2267">
      <w:pPr>
        <w:pStyle w:val="ListParagraph"/>
        <w:spacing w:before="120" w:after="120"/>
        <w:contextualSpacing w:val="0"/>
        <w:jc w:val="both"/>
        <w:rPr>
          <w:rFonts w:ascii="Times New Roman" w:hAnsi="Times New Roman"/>
          <w:b/>
          <w:i/>
          <w:iCs/>
        </w:rPr>
      </w:pPr>
      <w:r w:rsidRPr="007D2267">
        <w:rPr>
          <w:rFonts w:ascii="Times New Roman" w:hAnsi="Times New Roman"/>
          <w:b/>
          <w:i/>
          <w:iCs/>
        </w:rPr>
        <w:t>Additional information for financial statements</w:t>
      </w:r>
    </w:p>
    <w:p w14:paraId="6D05B07C" w14:textId="28FC015C" w:rsidR="007D2267" w:rsidRDefault="007D2267" w:rsidP="007D2267">
      <w:pPr>
        <w:pStyle w:val="ListParagraph"/>
        <w:spacing w:before="120" w:after="120"/>
        <w:ind w:left="706"/>
        <w:contextualSpacing w:val="0"/>
        <w:jc w:val="both"/>
        <w:rPr>
          <w:rFonts w:ascii="Times New Roman" w:eastAsia="Times New Roman" w:hAnsi="Times New Roman"/>
          <w:bCs/>
          <w:lang w:val="nl-NL"/>
        </w:rPr>
      </w:pPr>
      <w:r w:rsidRPr="007D2267">
        <w:rPr>
          <w:rFonts w:ascii="Times New Roman" w:eastAsia="Times New Roman" w:hAnsi="Times New Roman"/>
          <w:bCs/>
          <w:lang w:val="nl-NL"/>
        </w:rPr>
        <w:t>Phần thuyết minh này được trình bày theo phụ lục đính kèm.</w:t>
      </w:r>
    </w:p>
    <w:p w14:paraId="66CCFFCF" w14:textId="04B803C1" w:rsidR="007D2267" w:rsidRDefault="007D2267" w:rsidP="007D2267">
      <w:pPr>
        <w:spacing w:before="120" w:after="120"/>
        <w:ind w:left="709"/>
        <w:jc w:val="both"/>
        <w:rPr>
          <w:rFonts w:ascii="Times New Roman" w:eastAsia="Times New Roman" w:hAnsi="Times New Roman"/>
          <w:i/>
          <w:iCs/>
          <w:lang w:val="nl-NL"/>
        </w:rPr>
      </w:pPr>
      <w:r w:rsidRPr="007D2267">
        <w:rPr>
          <w:rFonts w:ascii="Times New Roman" w:eastAsia="Times New Roman" w:hAnsi="Times New Roman"/>
          <w:i/>
          <w:iCs/>
          <w:lang w:val="nl-NL"/>
        </w:rPr>
        <w:t>This note is presented in the attached appendix.</w:t>
      </w:r>
    </w:p>
    <w:bookmarkStart w:id="0" w:name="_MON_1798283023"/>
    <w:bookmarkEnd w:id="0"/>
    <w:p w14:paraId="2274AF2C" w14:textId="2652FEA0" w:rsidR="007D2267" w:rsidRPr="007D2267" w:rsidRDefault="005B0BB6" w:rsidP="007D2267">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object w:dxaOrig="1508" w:dyaOrig="983" w14:anchorId="6B99C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15pt" o:ole="">
            <v:imagedata r:id="rId8" o:title=""/>
          </v:shape>
          <o:OLEObject Type="Embed" ProgID="Excel.Sheet.12" ShapeID="_x0000_i1025" DrawAspect="Icon" ObjectID="_1798471498" r:id="rId9"/>
        </w:object>
      </w:r>
    </w:p>
    <w:p w14:paraId="2FACDF50" w14:textId="07E0FE86" w:rsidR="00337153" w:rsidRPr="007D2267" w:rsidRDefault="006E1E47" w:rsidP="00232121">
      <w:pPr>
        <w:pStyle w:val="ListParagraph"/>
        <w:numPr>
          <w:ilvl w:val="0"/>
          <w:numId w:val="5"/>
        </w:numPr>
        <w:spacing w:before="120" w:after="120"/>
        <w:ind w:left="0" w:firstLine="0"/>
        <w:contextualSpacing w:val="0"/>
        <w:jc w:val="both"/>
        <w:rPr>
          <w:rFonts w:ascii="Times New Roman" w:hAnsi="Times New Roman"/>
          <w:b/>
          <w:lang w:val="nl-NL"/>
        </w:rPr>
      </w:pPr>
      <w:r w:rsidRPr="007D2267">
        <w:rPr>
          <w:rFonts w:ascii="Times New Roman" w:hAnsi="Times New Roman"/>
          <w:b/>
          <w:lang w:val="nl-NL"/>
        </w:rPr>
        <w:t xml:space="preserve">Sự kiện phát sinh sau ngày báo cáo tài </w:t>
      </w:r>
      <w:r w:rsidR="00C13542" w:rsidRPr="007D2267">
        <w:rPr>
          <w:rFonts w:ascii="Times New Roman" w:hAnsi="Times New Roman"/>
          <w:b/>
          <w:lang w:val="nl-NL"/>
        </w:rPr>
        <w:t>c</w:t>
      </w:r>
      <w:r w:rsidR="00285351">
        <w:rPr>
          <w:rFonts w:ascii="Times New Roman" w:hAnsi="Times New Roman"/>
          <w:b/>
          <w:lang w:val="nl-NL"/>
        </w:rPr>
        <w:t>hính</w:t>
      </w:r>
    </w:p>
    <w:p w14:paraId="16590355" w14:textId="2DC532F2" w:rsidR="00C13542" w:rsidRPr="00222DFB" w:rsidRDefault="00222DFB" w:rsidP="000B762F">
      <w:pPr>
        <w:pStyle w:val="ListParagraph"/>
        <w:spacing w:before="120" w:after="120"/>
        <w:contextualSpacing w:val="0"/>
        <w:jc w:val="both"/>
        <w:rPr>
          <w:rFonts w:ascii="Times New Roman" w:hAnsi="Times New Roman"/>
          <w:b/>
          <w:i/>
          <w:iCs/>
        </w:rPr>
      </w:pPr>
      <w:r>
        <w:rPr>
          <w:rFonts w:ascii="Times New Roman" w:hAnsi="Times New Roman"/>
          <w:b/>
          <w:i/>
          <w:iCs/>
        </w:rPr>
        <w:t>Subsequent event after the date of the financial statement</w:t>
      </w:r>
    </w:p>
    <w:p w14:paraId="3246C7B1" w14:textId="09EDF72E" w:rsidR="00D26008" w:rsidRDefault="00246DC0" w:rsidP="00232121">
      <w:pPr>
        <w:spacing w:before="120" w:after="120"/>
        <w:ind w:left="14"/>
        <w:jc w:val="both"/>
        <w:rPr>
          <w:rFonts w:ascii="Times New Roman" w:hAnsi="Times New Roman"/>
        </w:rPr>
      </w:pPr>
      <w:r w:rsidRPr="00246DC0">
        <w:rPr>
          <w:rFonts w:ascii="Times New Roman" w:hAnsi="Times New Roman"/>
        </w:rPr>
        <w:t>Không có sự kiện phát sinh sau ngày lập báo cáo tài chính cần điều chỉnh hoặc trình bày trên báo cáo tài chính.</w:t>
      </w:r>
    </w:p>
    <w:p w14:paraId="09305E6E" w14:textId="036D83FE" w:rsidR="006F31C8" w:rsidRPr="006F31C8" w:rsidRDefault="006F31C8" w:rsidP="006F31C8">
      <w:pPr>
        <w:spacing w:before="120" w:after="120"/>
        <w:jc w:val="both"/>
        <w:rPr>
          <w:rFonts w:ascii="Times New Roman" w:eastAsia="Times New Roman" w:hAnsi="Times New Roman"/>
          <w:i/>
          <w:iCs/>
          <w:lang w:val="nl-NL"/>
        </w:rPr>
      </w:pPr>
      <w:r w:rsidRPr="006F31C8">
        <w:rPr>
          <w:rFonts w:ascii="Times New Roman" w:eastAsia="Times New Roman" w:hAnsi="Times New Roman"/>
          <w:i/>
          <w:iCs/>
          <w:lang w:val="nl-NL"/>
        </w:rPr>
        <w:t>There have been no significant subsequent events occurring after the reporting date which would require adjustments or disclosures to be made in the financial statements.</w:t>
      </w:r>
    </w:p>
    <w:tbl>
      <w:tblPr>
        <w:tblStyle w:val="TableGrid"/>
        <w:tblW w:w="48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714"/>
        <w:gridCol w:w="2851"/>
        <w:gridCol w:w="3093"/>
      </w:tblGrid>
      <w:tr w:rsidR="007B744D" w:rsidRPr="00A36643" w14:paraId="188D8B80" w14:textId="77777777" w:rsidTr="00471B7D">
        <w:tc>
          <w:tcPr>
            <w:tcW w:w="1902" w:type="pct"/>
            <w:gridSpan w:val="2"/>
          </w:tcPr>
          <w:p w14:paraId="4B64FEC3" w14:textId="77777777" w:rsidR="007B744D" w:rsidRDefault="007B744D" w:rsidP="00FB2E13">
            <w:pPr>
              <w:spacing w:before="120" w:after="0" w:line="240" w:lineRule="auto"/>
              <w:jc w:val="center"/>
              <w:rPr>
                <w:rFonts w:ascii="Times New Roman" w:hAnsi="Times New Roman"/>
                <w:b/>
              </w:rPr>
            </w:pPr>
            <w:r w:rsidRPr="00A36643">
              <w:rPr>
                <w:rFonts w:ascii="Times New Roman" w:hAnsi="Times New Roman"/>
                <w:b/>
              </w:rPr>
              <w:t>Người lập:</w:t>
            </w:r>
          </w:p>
          <w:p w14:paraId="181711B9" w14:textId="13A3F2BE" w:rsidR="00D5039E" w:rsidRPr="00D5039E" w:rsidRDefault="00D5039E" w:rsidP="00FB2E13">
            <w:pPr>
              <w:spacing w:before="120" w:after="0" w:line="240" w:lineRule="auto"/>
              <w:jc w:val="center"/>
              <w:rPr>
                <w:rFonts w:ascii="Times New Roman" w:hAnsi="Times New Roman"/>
                <w:b/>
                <w:i/>
                <w:iCs/>
              </w:rPr>
            </w:pPr>
            <w:r>
              <w:rPr>
                <w:rFonts w:ascii="Times New Roman" w:hAnsi="Times New Roman"/>
                <w:b/>
                <w:i/>
                <w:iCs/>
              </w:rPr>
              <w:t>Preparer:</w:t>
            </w:r>
          </w:p>
        </w:tc>
        <w:tc>
          <w:tcPr>
            <w:tcW w:w="3098" w:type="pct"/>
            <w:gridSpan w:val="2"/>
          </w:tcPr>
          <w:p w14:paraId="25E6EBBC" w14:textId="77777777" w:rsidR="007B744D" w:rsidRDefault="007B744D" w:rsidP="00FB2E13">
            <w:pPr>
              <w:spacing w:before="120" w:after="0" w:line="240" w:lineRule="auto"/>
              <w:jc w:val="center"/>
              <w:rPr>
                <w:rFonts w:ascii="Times New Roman" w:eastAsia="Times New Roman" w:hAnsi="Times New Roman"/>
                <w:b/>
                <w:bCs/>
              </w:rPr>
            </w:pPr>
            <w:r w:rsidRPr="00A36643">
              <w:rPr>
                <w:rFonts w:ascii="Times New Roman" w:eastAsia="Times New Roman" w:hAnsi="Times New Roman"/>
                <w:b/>
                <w:bCs/>
              </w:rPr>
              <w:t xml:space="preserve"> Người duyệt:</w:t>
            </w:r>
          </w:p>
          <w:p w14:paraId="480F932A" w14:textId="73EA029F" w:rsidR="00D5039E" w:rsidRPr="00D5039E" w:rsidRDefault="00D5039E" w:rsidP="00FB2E13">
            <w:pPr>
              <w:spacing w:before="120" w:after="0" w:line="240" w:lineRule="auto"/>
              <w:jc w:val="center"/>
              <w:rPr>
                <w:rFonts w:ascii="Times New Roman" w:eastAsia="Times New Roman" w:hAnsi="Times New Roman"/>
                <w:b/>
                <w:bCs/>
                <w:i/>
                <w:iCs/>
              </w:rPr>
            </w:pPr>
            <w:r>
              <w:rPr>
                <w:rFonts w:ascii="Times New Roman" w:eastAsia="Times New Roman" w:hAnsi="Times New Roman"/>
                <w:b/>
                <w:bCs/>
                <w:i/>
                <w:iCs/>
              </w:rPr>
              <w:t>Approver</w:t>
            </w:r>
          </w:p>
        </w:tc>
      </w:tr>
      <w:tr w:rsidR="00BD2F2E" w:rsidRPr="00A36643" w14:paraId="1884B56F" w14:textId="77777777" w:rsidTr="0070793F">
        <w:trPr>
          <w:trHeight w:val="1044"/>
        </w:trPr>
        <w:tc>
          <w:tcPr>
            <w:tcW w:w="1530" w:type="pct"/>
            <w:noWrap/>
          </w:tcPr>
          <w:p w14:paraId="73A65D82" w14:textId="1A73F234" w:rsidR="00471B7D" w:rsidRDefault="00471B7D" w:rsidP="00CA5306">
            <w:pPr>
              <w:spacing w:before="120" w:after="120" w:line="240" w:lineRule="auto"/>
              <w:rPr>
                <w:rFonts w:ascii="Times New Roman" w:eastAsia="Times New Roman" w:hAnsi="Times New Roman"/>
                <w:lang w:val="en-GB" w:eastAsia="en-GB"/>
              </w:rPr>
            </w:pPr>
          </w:p>
          <w:p w14:paraId="6D1F72C7" w14:textId="77777777" w:rsidR="00FB2E13" w:rsidRDefault="00FB2E13" w:rsidP="00CA5306">
            <w:pPr>
              <w:spacing w:before="120" w:after="120" w:line="240" w:lineRule="auto"/>
              <w:rPr>
                <w:rFonts w:ascii="Times New Roman" w:eastAsia="Times New Roman" w:hAnsi="Times New Roman"/>
                <w:lang w:val="en-GB" w:eastAsia="en-GB"/>
              </w:rPr>
            </w:pPr>
          </w:p>
          <w:p w14:paraId="0C94D742" w14:textId="4512A6FD" w:rsidR="00FB2E13" w:rsidRDefault="00FB2E13" w:rsidP="00CA5306">
            <w:pPr>
              <w:spacing w:before="120" w:after="120" w:line="240" w:lineRule="auto"/>
              <w:rPr>
                <w:rFonts w:ascii="Times New Roman" w:eastAsia="Times New Roman" w:hAnsi="Times New Roman"/>
                <w:lang w:val="en-GB" w:eastAsia="en-GB"/>
              </w:rPr>
            </w:pPr>
          </w:p>
          <w:p w14:paraId="143F8C16" w14:textId="489E155D" w:rsidR="00471B7D" w:rsidRPr="00A36643" w:rsidRDefault="00471B7D" w:rsidP="00CA5306">
            <w:pPr>
              <w:spacing w:before="120" w:after="120" w:line="240" w:lineRule="auto"/>
              <w:rPr>
                <w:rFonts w:ascii="Times New Roman" w:eastAsia="Times New Roman" w:hAnsi="Times New Roman"/>
                <w:lang w:val="en-GB" w:eastAsia="en-GB"/>
              </w:rPr>
            </w:pPr>
          </w:p>
        </w:tc>
        <w:tc>
          <w:tcPr>
            <w:tcW w:w="1858" w:type="pct"/>
            <w:gridSpan w:val="2"/>
          </w:tcPr>
          <w:p w14:paraId="3B2F238F" w14:textId="77777777" w:rsidR="00BD2F2E" w:rsidRDefault="00BD2F2E" w:rsidP="00CA5306">
            <w:pPr>
              <w:spacing w:before="120" w:after="120" w:line="240" w:lineRule="auto"/>
              <w:jc w:val="center"/>
              <w:rPr>
                <w:rFonts w:ascii="Times New Roman" w:eastAsia="Times New Roman" w:hAnsi="Times New Roman"/>
                <w:lang w:val="en-GB" w:eastAsia="en-GB"/>
              </w:rPr>
            </w:pPr>
          </w:p>
          <w:p w14:paraId="64EDE8EA" w14:textId="3281DE05" w:rsidR="00FB2E13" w:rsidRPr="00A36643" w:rsidRDefault="00FB2E13" w:rsidP="00CA5306">
            <w:pPr>
              <w:spacing w:before="120" w:after="120" w:line="240" w:lineRule="auto"/>
              <w:jc w:val="center"/>
              <w:rPr>
                <w:rFonts w:ascii="Times New Roman" w:eastAsia="Times New Roman" w:hAnsi="Times New Roman"/>
                <w:lang w:val="en-GB" w:eastAsia="en-GB"/>
              </w:rPr>
            </w:pPr>
          </w:p>
        </w:tc>
        <w:tc>
          <w:tcPr>
            <w:tcW w:w="1612" w:type="pct"/>
            <w:noWrap/>
          </w:tcPr>
          <w:p w14:paraId="160D550E" w14:textId="77777777" w:rsidR="00BD2F2E" w:rsidRPr="00A36643" w:rsidRDefault="00BD2F2E" w:rsidP="00CA5306">
            <w:pPr>
              <w:spacing w:before="120" w:after="120" w:line="240" w:lineRule="auto"/>
              <w:jc w:val="center"/>
              <w:rPr>
                <w:rFonts w:ascii="Times New Roman" w:eastAsia="Times New Roman" w:hAnsi="Times New Roman"/>
                <w:lang w:val="en-GB" w:eastAsia="en-GB"/>
              </w:rPr>
            </w:pPr>
          </w:p>
        </w:tc>
      </w:tr>
      <w:tr w:rsidR="00471B7D" w:rsidRPr="00A36643" w14:paraId="6680B839" w14:textId="77777777" w:rsidTr="00471B7D">
        <w:trPr>
          <w:trHeight w:val="251"/>
        </w:trPr>
        <w:tc>
          <w:tcPr>
            <w:tcW w:w="1530" w:type="pct"/>
            <w:noWrap/>
          </w:tcPr>
          <w:p w14:paraId="1A301E64" w14:textId="53A0943D" w:rsidR="00471B7D" w:rsidRPr="00A36643" w:rsidRDefault="00471B7D" w:rsidP="00471B7D">
            <w:pPr>
              <w:spacing w:after="0" w:line="240" w:lineRule="auto"/>
              <w:rPr>
                <w:rFonts w:ascii="Times New Roman" w:eastAsia="Times New Roman" w:hAnsi="Times New Roman"/>
                <w:lang w:val="en-GB" w:eastAsia="en-GB"/>
              </w:rPr>
            </w:pPr>
            <w:r w:rsidRPr="00A36643">
              <w:rPr>
                <w:rFonts w:ascii="Times New Roman" w:eastAsia="Times New Roman" w:hAnsi="Times New Roman"/>
                <w:b/>
                <w:lang w:val="en-GB" w:eastAsia="en-GB"/>
              </w:rPr>
              <w:t>Nguyễn Tuấn Ngọc</w:t>
            </w:r>
          </w:p>
        </w:tc>
        <w:tc>
          <w:tcPr>
            <w:tcW w:w="1858" w:type="pct"/>
            <w:gridSpan w:val="2"/>
          </w:tcPr>
          <w:p w14:paraId="430AAF6E" w14:textId="3A4F8E8B" w:rsidR="00471B7D" w:rsidRPr="00A36643" w:rsidRDefault="00FC7451" w:rsidP="00471B7D">
            <w:pPr>
              <w:spacing w:after="0" w:line="240" w:lineRule="auto"/>
              <w:jc w:val="center"/>
              <w:rPr>
                <w:rFonts w:ascii="Times New Roman" w:eastAsia="Times New Roman" w:hAnsi="Times New Roman"/>
                <w:lang w:val="en-GB" w:eastAsia="en-GB"/>
              </w:rPr>
            </w:pPr>
            <w:r w:rsidRPr="00FC7451">
              <w:rPr>
                <w:rFonts w:ascii="Times New Roman" w:eastAsia="Times New Roman" w:hAnsi="Times New Roman"/>
                <w:b/>
                <w:lang w:val="en-GB" w:eastAsia="en-GB"/>
              </w:rPr>
              <w:t>Võ Hoàng Kiều Oanh</w:t>
            </w:r>
          </w:p>
        </w:tc>
        <w:tc>
          <w:tcPr>
            <w:tcW w:w="1612" w:type="pct"/>
            <w:noWrap/>
          </w:tcPr>
          <w:p w14:paraId="0BF8E548" w14:textId="58164BAC" w:rsidR="00471B7D" w:rsidRPr="00A36643"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r w:rsidRPr="00A36643">
              <w:rPr>
                <w:rFonts w:ascii="Times New Roman" w:eastAsia="Times New Roman" w:hAnsi="Times New Roman"/>
                <w:b/>
                <w:lang w:val="en-GB" w:eastAsia="en-GB"/>
              </w:rPr>
              <w:t>Brook Colin Taylor</w:t>
            </w:r>
          </w:p>
        </w:tc>
      </w:tr>
      <w:tr w:rsidR="00471B7D" w:rsidRPr="00224233" w14:paraId="7EB01DB3" w14:textId="77777777" w:rsidTr="00471B7D">
        <w:trPr>
          <w:trHeight w:val="341"/>
        </w:trPr>
        <w:tc>
          <w:tcPr>
            <w:tcW w:w="1530" w:type="pct"/>
            <w:noWrap/>
          </w:tcPr>
          <w:p w14:paraId="30D8488C" w14:textId="7463FA99" w:rsidR="00471B7D" w:rsidRDefault="00A36643" w:rsidP="00471B7D">
            <w:pPr>
              <w:spacing w:after="0" w:line="240" w:lineRule="auto"/>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r w:rsidR="00471B7D" w:rsidRPr="00A36643">
              <w:rPr>
                <w:rFonts w:ascii="Times New Roman" w:eastAsia="Times New Roman" w:hAnsi="Times New Roman"/>
                <w:lang w:val="en-GB" w:eastAsia="en-GB"/>
              </w:rPr>
              <w:t>Người lập</w:t>
            </w:r>
          </w:p>
          <w:p w14:paraId="3A91B452" w14:textId="49B5BCCB" w:rsidR="00D5039E" w:rsidRPr="00D5039E" w:rsidRDefault="00D5039E" w:rsidP="00D5039E">
            <w:pPr>
              <w:spacing w:after="0" w:line="240" w:lineRule="auto"/>
              <w:ind w:left="435"/>
              <w:rPr>
                <w:rFonts w:ascii="Times New Roman" w:eastAsia="Times New Roman" w:hAnsi="Times New Roman"/>
                <w:i/>
                <w:iCs/>
                <w:lang w:val="en-GB" w:eastAsia="en-GB"/>
              </w:rPr>
            </w:pPr>
            <w:r>
              <w:rPr>
                <w:rFonts w:ascii="Times New Roman" w:eastAsia="Times New Roman" w:hAnsi="Times New Roman"/>
                <w:i/>
                <w:iCs/>
                <w:lang w:val="en-GB" w:eastAsia="en-GB"/>
              </w:rPr>
              <w:t>Preparer</w:t>
            </w:r>
          </w:p>
          <w:p w14:paraId="06A6CD2B" w14:textId="73737EE7" w:rsidR="00D5039E" w:rsidRPr="00A36643" w:rsidRDefault="00D5039E" w:rsidP="00471B7D">
            <w:pPr>
              <w:spacing w:after="0" w:line="240" w:lineRule="auto"/>
              <w:rPr>
                <w:rFonts w:ascii="Times New Roman" w:eastAsia="Times New Roman" w:hAnsi="Times New Roman"/>
                <w:lang w:val="en-GB" w:eastAsia="en-GB"/>
              </w:rPr>
            </w:pPr>
          </w:p>
        </w:tc>
        <w:tc>
          <w:tcPr>
            <w:tcW w:w="1858" w:type="pct"/>
            <w:gridSpan w:val="2"/>
          </w:tcPr>
          <w:p w14:paraId="36D50ACF" w14:textId="77777777" w:rsidR="00471B7D"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lastRenderedPageBreak/>
              <w:t>Kế toán trưởng</w:t>
            </w:r>
          </w:p>
          <w:p w14:paraId="4819987A" w14:textId="5A776D93"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Chief Accountant</w:t>
            </w:r>
          </w:p>
        </w:tc>
        <w:tc>
          <w:tcPr>
            <w:tcW w:w="1612" w:type="pct"/>
            <w:noWrap/>
          </w:tcPr>
          <w:p w14:paraId="2D790AC3" w14:textId="77777777" w:rsidR="00471B7D"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Tổng Giám Đốc</w:t>
            </w:r>
          </w:p>
          <w:p w14:paraId="18FB6075" w14:textId="3DFBF2A4"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General Director</w:t>
            </w:r>
          </w:p>
        </w:tc>
      </w:tr>
    </w:tbl>
    <w:p w14:paraId="1A32A1C5" w14:textId="77777777" w:rsidR="00BA2FDE" w:rsidRPr="00232121" w:rsidRDefault="00BA2FDE" w:rsidP="009525C9">
      <w:pPr>
        <w:spacing w:before="240" w:after="240" w:line="240" w:lineRule="auto"/>
        <w:rPr>
          <w:rFonts w:ascii="Times New Roman" w:hAnsi="Times New Roman"/>
        </w:rPr>
      </w:pPr>
    </w:p>
    <w:sectPr w:rsidR="00BA2FDE" w:rsidRPr="00232121" w:rsidSect="0048032C">
      <w:headerReference w:type="even" r:id="rId10"/>
      <w:headerReference w:type="default" r:id="rId11"/>
      <w:footerReference w:type="default" r:id="rId12"/>
      <w:headerReference w:type="first" r:id="rId13"/>
      <w:pgSz w:w="11909" w:h="16834" w:code="9"/>
      <w:pgMar w:top="1134" w:right="1021" w:bottom="567" w:left="1021"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1F54A" w14:textId="77777777" w:rsidR="007F1A9C" w:rsidRDefault="007F1A9C" w:rsidP="001C71B0">
      <w:pPr>
        <w:spacing w:after="0" w:line="240" w:lineRule="auto"/>
      </w:pPr>
      <w:r>
        <w:separator/>
      </w:r>
    </w:p>
  </w:endnote>
  <w:endnote w:type="continuationSeparator" w:id="0">
    <w:p w14:paraId="1054B04F" w14:textId="77777777" w:rsidR="007F1A9C" w:rsidRDefault="007F1A9C"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CCD3" w14:textId="73EF51E7" w:rsidR="00AD69B2" w:rsidRPr="00D41506" w:rsidRDefault="00AD69B2">
    <w:pPr>
      <w:pStyle w:val="Footer"/>
      <w:jc w:val="center"/>
      <w:rPr>
        <w:rFonts w:ascii="Times New Roman" w:hAnsi="Times New Roman"/>
      </w:rPr>
    </w:pPr>
    <w:r w:rsidRPr="00D41506">
      <w:rPr>
        <w:rFonts w:ascii="Times New Roman" w:hAnsi="Times New Roman"/>
      </w:rPr>
      <w:fldChar w:fldCharType="begin"/>
    </w:r>
    <w:r w:rsidRPr="00D41506">
      <w:rPr>
        <w:rFonts w:ascii="Times New Roman" w:hAnsi="Times New Roman"/>
      </w:rPr>
      <w:instrText xml:space="preserve"> PAGE   \* MERGEFORMAT </w:instrText>
    </w:r>
    <w:r w:rsidRPr="00D41506">
      <w:rPr>
        <w:rFonts w:ascii="Times New Roman" w:hAnsi="Times New Roman"/>
      </w:rPr>
      <w:fldChar w:fldCharType="separate"/>
    </w:r>
    <w:r>
      <w:rPr>
        <w:rFonts w:ascii="Times New Roman" w:hAnsi="Times New Roman"/>
        <w:noProof/>
      </w:rPr>
      <w:t>7</w:t>
    </w:r>
    <w:r w:rsidRPr="00D41506">
      <w:rPr>
        <w:rFonts w:ascii="Times New Roman" w:hAnsi="Times New Roman"/>
      </w:rPr>
      <w:fldChar w:fldCharType="end"/>
    </w:r>
  </w:p>
  <w:p w14:paraId="524B7DA3" w14:textId="77777777" w:rsidR="00AD69B2" w:rsidRPr="00D41506" w:rsidRDefault="00AD69B2">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D69A" w14:textId="77777777" w:rsidR="007F1A9C" w:rsidRDefault="007F1A9C" w:rsidP="001C71B0">
      <w:pPr>
        <w:spacing w:after="0" w:line="240" w:lineRule="auto"/>
      </w:pPr>
      <w:r>
        <w:separator/>
      </w:r>
    </w:p>
  </w:footnote>
  <w:footnote w:type="continuationSeparator" w:id="0">
    <w:p w14:paraId="0D5E428F" w14:textId="77777777" w:rsidR="007F1A9C" w:rsidRDefault="007F1A9C"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827CE" w14:textId="437BC4CA" w:rsidR="00A93AE3" w:rsidRDefault="0027000D">
    <w:pPr>
      <w:pStyle w:val="Header"/>
    </w:pPr>
    <w:r>
      <w:rPr>
        <w:noProof/>
      </w:rPr>
      <mc:AlternateContent>
        <mc:Choice Requires="wps">
          <w:drawing>
            <wp:anchor distT="0" distB="0" distL="0" distR="0" simplePos="0" relativeHeight="251659264" behindDoc="0" locked="0" layoutInCell="1" allowOverlap="1" wp14:anchorId="7E396341" wp14:editId="7D8A7D66">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AB7E3B" w14:textId="1C166F2F" w:rsidR="0027000D" w:rsidRPr="0027000D" w:rsidRDefault="0027000D" w:rsidP="0027000D">
                          <w:pPr>
                            <w:spacing w:after="0"/>
                            <w:rPr>
                              <w:rFonts w:ascii="Arial" w:eastAsia="Arial" w:hAnsi="Arial" w:cs="Arial"/>
                              <w:noProof/>
                              <w:color w:val="317100"/>
                              <w:sz w:val="18"/>
                              <w:szCs w:val="18"/>
                            </w:rPr>
                          </w:pPr>
                          <w:r w:rsidRPr="0027000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396341"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26AB7E3B" w14:textId="1C166F2F" w:rsidR="0027000D" w:rsidRPr="0027000D" w:rsidRDefault="0027000D" w:rsidP="0027000D">
                    <w:pPr>
                      <w:spacing w:after="0"/>
                      <w:rPr>
                        <w:rFonts w:ascii="Arial" w:eastAsia="Arial" w:hAnsi="Arial" w:cs="Arial"/>
                        <w:noProof/>
                        <w:color w:val="317100"/>
                        <w:sz w:val="18"/>
                        <w:szCs w:val="18"/>
                      </w:rPr>
                    </w:pPr>
                    <w:r w:rsidRPr="0027000D">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BE72D" w14:textId="36F3E548" w:rsidR="00AD69B2" w:rsidRDefault="0027000D">
    <w:pPr>
      <w:pStyle w:val="Header"/>
      <w:jc w:val="center"/>
    </w:pPr>
    <w:r>
      <w:rPr>
        <w:noProof/>
      </w:rPr>
      <mc:AlternateContent>
        <mc:Choice Requires="wps">
          <w:drawing>
            <wp:anchor distT="0" distB="0" distL="0" distR="0" simplePos="0" relativeHeight="251660288" behindDoc="0" locked="0" layoutInCell="1" allowOverlap="1" wp14:anchorId="45AFDE83" wp14:editId="495CDA5D">
              <wp:simplePos x="647700" y="447675"/>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529433" w14:textId="360C6655" w:rsidR="0027000D" w:rsidRPr="0027000D" w:rsidRDefault="0027000D" w:rsidP="0027000D">
                          <w:pPr>
                            <w:spacing w:after="0"/>
                            <w:rPr>
                              <w:rFonts w:ascii="Arial" w:eastAsia="Arial" w:hAnsi="Arial" w:cs="Arial"/>
                              <w:noProof/>
                              <w:color w:val="317100"/>
                              <w:sz w:val="18"/>
                              <w:szCs w:val="18"/>
                            </w:rPr>
                          </w:pPr>
                          <w:r w:rsidRPr="0027000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5AFDE83" id="_x0000_t202" coordsize="21600,21600" o:spt="202" path="m,l,21600r21600,l21600,xe">
              <v:stroke joinstyle="miter"/>
              <v:path gradientshapeok="t" o:connecttype="rect"/>
            </v:shapetype>
            <v:shape id="Text Box 4"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77529433" w14:textId="360C6655" w:rsidR="0027000D" w:rsidRPr="0027000D" w:rsidRDefault="0027000D" w:rsidP="0027000D">
                    <w:pPr>
                      <w:spacing w:after="0"/>
                      <w:rPr>
                        <w:rFonts w:ascii="Arial" w:eastAsia="Arial" w:hAnsi="Arial" w:cs="Arial"/>
                        <w:noProof/>
                        <w:color w:val="317100"/>
                        <w:sz w:val="18"/>
                        <w:szCs w:val="18"/>
                      </w:rPr>
                    </w:pPr>
                    <w:r w:rsidRPr="0027000D">
                      <w:rPr>
                        <w:rFonts w:ascii="Arial" w:eastAsia="Arial" w:hAnsi="Arial" w:cs="Arial"/>
                        <w:noProof/>
                        <w:color w:val="317100"/>
                        <w:sz w:val="18"/>
                        <w:szCs w:val="18"/>
                      </w:rPr>
                      <w:t>PUBLIC</w:t>
                    </w:r>
                  </w:p>
                </w:txbxContent>
              </v:textbox>
              <w10:wrap anchorx="page" anchory="page"/>
            </v:shape>
          </w:pict>
        </mc:Fallback>
      </mc:AlternateContent>
    </w:r>
  </w:p>
  <w:p w14:paraId="70205A93" w14:textId="77777777" w:rsidR="00AD69B2" w:rsidRDefault="00AD6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B639" w14:textId="5E36AE20" w:rsidR="00A93AE3" w:rsidRDefault="0027000D">
    <w:pPr>
      <w:pStyle w:val="Header"/>
    </w:pPr>
    <w:r>
      <w:rPr>
        <w:noProof/>
      </w:rPr>
      <mc:AlternateContent>
        <mc:Choice Requires="wps">
          <w:drawing>
            <wp:anchor distT="0" distB="0" distL="0" distR="0" simplePos="0" relativeHeight="251658240" behindDoc="0" locked="0" layoutInCell="1" allowOverlap="1" wp14:anchorId="72C2ECFF" wp14:editId="36D80D07">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FF82B9" w14:textId="4A46CC5F" w:rsidR="0027000D" w:rsidRPr="0027000D" w:rsidRDefault="0027000D" w:rsidP="0027000D">
                          <w:pPr>
                            <w:spacing w:after="0"/>
                            <w:rPr>
                              <w:rFonts w:ascii="Arial" w:eastAsia="Arial" w:hAnsi="Arial" w:cs="Arial"/>
                              <w:noProof/>
                              <w:color w:val="317100"/>
                              <w:sz w:val="18"/>
                              <w:szCs w:val="18"/>
                            </w:rPr>
                          </w:pPr>
                          <w:r w:rsidRPr="0027000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C2ECFF"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29FF82B9" w14:textId="4A46CC5F" w:rsidR="0027000D" w:rsidRPr="0027000D" w:rsidRDefault="0027000D" w:rsidP="0027000D">
                    <w:pPr>
                      <w:spacing w:after="0"/>
                      <w:rPr>
                        <w:rFonts w:ascii="Arial" w:eastAsia="Arial" w:hAnsi="Arial" w:cs="Arial"/>
                        <w:noProof/>
                        <w:color w:val="317100"/>
                        <w:sz w:val="18"/>
                        <w:szCs w:val="18"/>
                      </w:rPr>
                    </w:pPr>
                    <w:r w:rsidRPr="0027000D">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6198"/>
    <w:multiLevelType w:val="hybridMultilevel"/>
    <w:tmpl w:val="AE324D9A"/>
    <w:lvl w:ilvl="0" w:tplc="0809001B">
      <w:start w:val="1"/>
      <w:numFmt w:val="lowerRoman"/>
      <w:lvlText w:val="%1."/>
      <w:lvlJc w:val="right"/>
      <w:pPr>
        <w:ind w:left="2430" w:hanging="360"/>
      </w:pPr>
      <w:rPr>
        <w:rFonts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 w15:restartNumberingAfterBreak="0">
    <w:nsid w:val="06ED507F"/>
    <w:multiLevelType w:val="hybridMultilevel"/>
    <w:tmpl w:val="2A24F248"/>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118B3E8A"/>
    <w:multiLevelType w:val="hybridMultilevel"/>
    <w:tmpl w:val="E982BAEA"/>
    <w:lvl w:ilvl="0" w:tplc="8062A646">
      <w:start w:val="1"/>
      <w:numFmt w:val="bullet"/>
      <w:lvlText w:val="‐"/>
      <w:lvlJc w:val="left"/>
      <w:pPr>
        <w:ind w:left="1080" w:hanging="360"/>
      </w:pPr>
      <w:rPr>
        <w:rFonts w:ascii="Cambria" w:hAnsi="Cambria"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92D7808"/>
    <w:multiLevelType w:val="hybridMultilevel"/>
    <w:tmpl w:val="41CA5474"/>
    <w:lvl w:ilvl="0" w:tplc="0809000F">
      <w:start w:val="1"/>
      <w:numFmt w:val="decimal"/>
      <w:lvlText w:val="%1."/>
      <w:lvlJc w:val="left"/>
      <w:pPr>
        <w:ind w:left="189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1C802395"/>
    <w:multiLevelType w:val="hybridMultilevel"/>
    <w:tmpl w:val="9E3601CC"/>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5" w15:restartNumberingAfterBreak="0">
    <w:nsid w:val="1F720F6C"/>
    <w:multiLevelType w:val="hybridMultilevel"/>
    <w:tmpl w:val="AEA6BCD2"/>
    <w:lvl w:ilvl="0" w:tplc="A91C1E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4BE5E1C"/>
    <w:multiLevelType w:val="hybridMultilevel"/>
    <w:tmpl w:val="3D38DC16"/>
    <w:lvl w:ilvl="0" w:tplc="3A72AF3E">
      <w:start w:val="1"/>
      <w:numFmt w:val="lowerLetter"/>
      <w:lvlText w:val="%1)"/>
      <w:lvlJc w:val="left"/>
      <w:pPr>
        <w:ind w:left="731" w:hanging="360"/>
      </w:pPr>
      <w:rPr>
        <w:rFonts w:hint="default"/>
        <w:color w:val="auto"/>
        <w:sz w:val="20"/>
        <w:szCs w:val="20"/>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8" w15:restartNumberingAfterBreak="0">
    <w:nsid w:val="450803E8"/>
    <w:multiLevelType w:val="multilevel"/>
    <w:tmpl w:val="CEDA26D8"/>
    <w:lvl w:ilvl="0">
      <w:start w:val="6"/>
      <w:numFmt w:val="decimal"/>
      <w:lvlText w:val="%1."/>
      <w:lvlJc w:val="left"/>
      <w:pPr>
        <w:ind w:left="1301" w:hanging="360"/>
      </w:pPr>
      <w:rPr>
        <w:rFonts w:hint="default"/>
      </w:rPr>
    </w:lvl>
    <w:lvl w:ilvl="1">
      <w:start w:val="1"/>
      <w:numFmt w:val="decimal"/>
      <w:isLgl/>
      <w:lvlText w:val="%1.%2"/>
      <w:lvlJc w:val="left"/>
      <w:pPr>
        <w:ind w:left="1406" w:hanging="465"/>
      </w:pPr>
      <w:rPr>
        <w:rFonts w:hint="default"/>
      </w:rPr>
    </w:lvl>
    <w:lvl w:ilvl="2">
      <w:start w:val="1"/>
      <w:numFmt w:val="decimal"/>
      <w:isLgl/>
      <w:lvlText w:val="%1.%2.%3"/>
      <w:lvlJc w:val="left"/>
      <w:pPr>
        <w:ind w:left="1661" w:hanging="720"/>
      </w:pPr>
      <w:rPr>
        <w:rFonts w:hint="default"/>
      </w:rPr>
    </w:lvl>
    <w:lvl w:ilvl="3">
      <w:start w:val="1"/>
      <w:numFmt w:val="decimal"/>
      <w:isLgl/>
      <w:lvlText w:val="%1.%2.%3.%4"/>
      <w:lvlJc w:val="left"/>
      <w:pPr>
        <w:ind w:left="1661" w:hanging="720"/>
      </w:pPr>
      <w:rPr>
        <w:rFonts w:hint="default"/>
      </w:rPr>
    </w:lvl>
    <w:lvl w:ilvl="4">
      <w:start w:val="1"/>
      <w:numFmt w:val="decimal"/>
      <w:isLgl/>
      <w:lvlText w:val="%1.%2.%3.%4.%5"/>
      <w:lvlJc w:val="left"/>
      <w:pPr>
        <w:ind w:left="2021" w:hanging="1080"/>
      </w:pPr>
      <w:rPr>
        <w:rFonts w:hint="default"/>
      </w:rPr>
    </w:lvl>
    <w:lvl w:ilvl="5">
      <w:start w:val="1"/>
      <w:numFmt w:val="decimal"/>
      <w:isLgl/>
      <w:lvlText w:val="%1.%2.%3.%4.%5.%6"/>
      <w:lvlJc w:val="left"/>
      <w:pPr>
        <w:ind w:left="2021" w:hanging="1080"/>
      </w:pPr>
      <w:rPr>
        <w:rFonts w:hint="default"/>
      </w:rPr>
    </w:lvl>
    <w:lvl w:ilvl="6">
      <w:start w:val="1"/>
      <w:numFmt w:val="decimal"/>
      <w:isLgl/>
      <w:lvlText w:val="%1.%2.%3.%4.%5.%6.%7"/>
      <w:lvlJc w:val="left"/>
      <w:pPr>
        <w:ind w:left="2381" w:hanging="1440"/>
      </w:pPr>
      <w:rPr>
        <w:rFonts w:hint="default"/>
      </w:rPr>
    </w:lvl>
    <w:lvl w:ilvl="7">
      <w:start w:val="1"/>
      <w:numFmt w:val="decimal"/>
      <w:isLgl/>
      <w:lvlText w:val="%1.%2.%3.%4.%5.%6.%7.%8"/>
      <w:lvlJc w:val="left"/>
      <w:pPr>
        <w:ind w:left="2381" w:hanging="1440"/>
      </w:pPr>
      <w:rPr>
        <w:rFonts w:hint="default"/>
      </w:rPr>
    </w:lvl>
    <w:lvl w:ilvl="8">
      <w:start w:val="1"/>
      <w:numFmt w:val="decimal"/>
      <w:isLgl/>
      <w:lvlText w:val="%1.%2.%3.%4.%5.%6.%7.%8.%9"/>
      <w:lvlJc w:val="left"/>
      <w:pPr>
        <w:ind w:left="2381" w:hanging="1440"/>
      </w:pPr>
      <w:rPr>
        <w:rFonts w:hint="default"/>
      </w:rPr>
    </w:lvl>
  </w:abstractNum>
  <w:abstractNum w:abstractNumId="9" w15:restartNumberingAfterBreak="0">
    <w:nsid w:val="51C24E79"/>
    <w:multiLevelType w:val="hybridMultilevel"/>
    <w:tmpl w:val="8F788AB6"/>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1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46B6160"/>
    <w:multiLevelType w:val="hybridMultilevel"/>
    <w:tmpl w:val="F56A8116"/>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58DA5DBB"/>
    <w:multiLevelType w:val="hybridMultilevel"/>
    <w:tmpl w:val="3DC28B56"/>
    <w:lvl w:ilvl="0" w:tplc="922ADCAA">
      <w:start w:val="1"/>
      <w:numFmt w:val="bullet"/>
      <w:lvlText w:val="+"/>
      <w:lvlJc w:val="left"/>
      <w:pPr>
        <w:ind w:left="2833" w:hanging="360"/>
      </w:pPr>
      <w:rPr>
        <w:rFonts w:ascii="Courier New" w:hAnsi="Courier New" w:hint="default"/>
      </w:rPr>
    </w:lvl>
    <w:lvl w:ilvl="1" w:tplc="08090003" w:tentative="1">
      <w:start w:val="1"/>
      <w:numFmt w:val="bullet"/>
      <w:lvlText w:val="o"/>
      <w:lvlJc w:val="left"/>
      <w:pPr>
        <w:ind w:left="3553" w:hanging="360"/>
      </w:pPr>
      <w:rPr>
        <w:rFonts w:ascii="Courier New" w:hAnsi="Courier New" w:cs="Courier New" w:hint="default"/>
      </w:rPr>
    </w:lvl>
    <w:lvl w:ilvl="2" w:tplc="08090005" w:tentative="1">
      <w:start w:val="1"/>
      <w:numFmt w:val="bullet"/>
      <w:lvlText w:val=""/>
      <w:lvlJc w:val="left"/>
      <w:pPr>
        <w:ind w:left="4273" w:hanging="360"/>
      </w:pPr>
      <w:rPr>
        <w:rFonts w:ascii="Wingdings" w:hAnsi="Wingdings" w:hint="default"/>
      </w:rPr>
    </w:lvl>
    <w:lvl w:ilvl="3" w:tplc="08090001" w:tentative="1">
      <w:start w:val="1"/>
      <w:numFmt w:val="bullet"/>
      <w:lvlText w:val=""/>
      <w:lvlJc w:val="left"/>
      <w:pPr>
        <w:ind w:left="4993" w:hanging="360"/>
      </w:pPr>
      <w:rPr>
        <w:rFonts w:ascii="Symbol" w:hAnsi="Symbol" w:hint="default"/>
      </w:rPr>
    </w:lvl>
    <w:lvl w:ilvl="4" w:tplc="08090003" w:tentative="1">
      <w:start w:val="1"/>
      <w:numFmt w:val="bullet"/>
      <w:lvlText w:val="o"/>
      <w:lvlJc w:val="left"/>
      <w:pPr>
        <w:ind w:left="5713" w:hanging="360"/>
      </w:pPr>
      <w:rPr>
        <w:rFonts w:ascii="Courier New" w:hAnsi="Courier New" w:cs="Courier New" w:hint="default"/>
      </w:rPr>
    </w:lvl>
    <w:lvl w:ilvl="5" w:tplc="08090005" w:tentative="1">
      <w:start w:val="1"/>
      <w:numFmt w:val="bullet"/>
      <w:lvlText w:val=""/>
      <w:lvlJc w:val="left"/>
      <w:pPr>
        <w:ind w:left="6433" w:hanging="360"/>
      </w:pPr>
      <w:rPr>
        <w:rFonts w:ascii="Wingdings" w:hAnsi="Wingdings" w:hint="default"/>
      </w:rPr>
    </w:lvl>
    <w:lvl w:ilvl="6" w:tplc="08090001" w:tentative="1">
      <w:start w:val="1"/>
      <w:numFmt w:val="bullet"/>
      <w:lvlText w:val=""/>
      <w:lvlJc w:val="left"/>
      <w:pPr>
        <w:ind w:left="7153" w:hanging="360"/>
      </w:pPr>
      <w:rPr>
        <w:rFonts w:ascii="Symbol" w:hAnsi="Symbol" w:hint="default"/>
      </w:rPr>
    </w:lvl>
    <w:lvl w:ilvl="7" w:tplc="08090003" w:tentative="1">
      <w:start w:val="1"/>
      <w:numFmt w:val="bullet"/>
      <w:lvlText w:val="o"/>
      <w:lvlJc w:val="left"/>
      <w:pPr>
        <w:ind w:left="7873" w:hanging="360"/>
      </w:pPr>
      <w:rPr>
        <w:rFonts w:ascii="Courier New" w:hAnsi="Courier New" w:cs="Courier New" w:hint="default"/>
      </w:rPr>
    </w:lvl>
    <w:lvl w:ilvl="8" w:tplc="08090005" w:tentative="1">
      <w:start w:val="1"/>
      <w:numFmt w:val="bullet"/>
      <w:lvlText w:val=""/>
      <w:lvlJc w:val="left"/>
      <w:pPr>
        <w:ind w:left="8593" w:hanging="360"/>
      </w:pPr>
      <w:rPr>
        <w:rFonts w:ascii="Wingdings" w:hAnsi="Wingdings" w:hint="default"/>
      </w:rPr>
    </w:lvl>
  </w:abstractNum>
  <w:abstractNum w:abstractNumId="13" w15:restartNumberingAfterBreak="0">
    <w:nsid w:val="62286B14"/>
    <w:multiLevelType w:val="hybridMultilevel"/>
    <w:tmpl w:val="F2A66E0C"/>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4" w15:restartNumberingAfterBreak="0">
    <w:nsid w:val="70623A63"/>
    <w:multiLevelType w:val="hybridMultilevel"/>
    <w:tmpl w:val="46C8B512"/>
    <w:lvl w:ilvl="0" w:tplc="FCCA71FC">
      <w:start w:val="1"/>
      <w:numFmt w:val="bullet"/>
      <w:lvlText w:val="-"/>
      <w:lvlJc w:val="left"/>
      <w:pPr>
        <w:ind w:left="1220" w:hanging="360"/>
      </w:pPr>
      <w:rPr>
        <w:rFonts w:ascii="Times New Roman" w:eastAsia="Times New Roman" w:hAnsi="Times New Roman" w:cs="Times New Roman"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15" w15:restartNumberingAfterBreak="0">
    <w:nsid w:val="74827940"/>
    <w:multiLevelType w:val="hybridMultilevel"/>
    <w:tmpl w:val="BB7AB1F4"/>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6" w15:restartNumberingAfterBreak="0">
    <w:nsid w:val="74D3177D"/>
    <w:multiLevelType w:val="hybridMultilevel"/>
    <w:tmpl w:val="1590A2A8"/>
    <w:lvl w:ilvl="0" w:tplc="FCCA71FC">
      <w:start w:val="1"/>
      <w:numFmt w:val="bullet"/>
      <w:lvlText w:val="-"/>
      <w:lvlJc w:val="left"/>
      <w:pPr>
        <w:ind w:left="1070" w:hanging="360"/>
      </w:pPr>
      <w:rPr>
        <w:rFonts w:ascii="Times New Roman" w:eastAsia="Times New Roman" w:hAnsi="Times New Roman" w:cs="Times New Roman"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7" w15:restartNumberingAfterBreak="0">
    <w:nsid w:val="75BE573D"/>
    <w:multiLevelType w:val="hybridMultilevel"/>
    <w:tmpl w:val="0568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306607">
    <w:abstractNumId w:val="5"/>
  </w:num>
  <w:num w:numId="2" w16cid:durableId="25832849">
    <w:abstractNumId w:val="10"/>
  </w:num>
  <w:num w:numId="3" w16cid:durableId="1760638466">
    <w:abstractNumId w:val="16"/>
  </w:num>
  <w:num w:numId="4" w16cid:durableId="1289704297">
    <w:abstractNumId w:val="17"/>
  </w:num>
  <w:num w:numId="5" w16cid:durableId="1589731652">
    <w:abstractNumId w:val="8"/>
  </w:num>
  <w:num w:numId="6" w16cid:durableId="705642487">
    <w:abstractNumId w:val="7"/>
  </w:num>
  <w:num w:numId="7" w16cid:durableId="1745836219">
    <w:abstractNumId w:val="6"/>
  </w:num>
  <w:num w:numId="8" w16cid:durableId="1484154941">
    <w:abstractNumId w:val="12"/>
  </w:num>
  <w:num w:numId="9" w16cid:durableId="1990094244">
    <w:abstractNumId w:val="2"/>
  </w:num>
  <w:num w:numId="10" w16cid:durableId="1147747929">
    <w:abstractNumId w:val="13"/>
  </w:num>
  <w:num w:numId="11" w16cid:durableId="169611455">
    <w:abstractNumId w:val="15"/>
  </w:num>
  <w:num w:numId="12" w16cid:durableId="502282795">
    <w:abstractNumId w:val="1"/>
  </w:num>
  <w:num w:numId="13" w16cid:durableId="1680426144">
    <w:abstractNumId w:val="11"/>
  </w:num>
  <w:num w:numId="14" w16cid:durableId="1752967592">
    <w:abstractNumId w:val="0"/>
  </w:num>
  <w:num w:numId="15" w16cid:durableId="1342926286">
    <w:abstractNumId w:val="3"/>
  </w:num>
  <w:num w:numId="16" w16cid:durableId="1476873428">
    <w:abstractNumId w:val="14"/>
  </w:num>
  <w:num w:numId="17" w16cid:durableId="1636176706">
    <w:abstractNumId w:val="4"/>
  </w:num>
  <w:num w:numId="18" w16cid:durableId="172991361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A62"/>
    <w:rsid w:val="00000968"/>
    <w:rsid w:val="000108F5"/>
    <w:rsid w:val="00010EE1"/>
    <w:rsid w:val="0001105A"/>
    <w:rsid w:val="000112E9"/>
    <w:rsid w:val="0001279C"/>
    <w:rsid w:val="00015308"/>
    <w:rsid w:val="00016018"/>
    <w:rsid w:val="000165CD"/>
    <w:rsid w:val="00020B3A"/>
    <w:rsid w:val="00020F99"/>
    <w:rsid w:val="000211DC"/>
    <w:rsid w:val="00021B6F"/>
    <w:rsid w:val="00022B00"/>
    <w:rsid w:val="00023A64"/>
    <w:rsid w:val="00032468"/>
    <w:rsid w:val="00033839"/>
    <w:rsid w:val="0003501E"/>
    <w:rsid w:val="000358A7"/>
    <w:rsid w:val="000423C7"/>
    <w:rsid w:val="00042C88"/>
    <w:rsid w:val="000431DA"/>
    <w:rsid w:val="000439D8"/>
    <w:rsid w:val="00044225"/>
    <w:rsid w:val="00044570"/>
    <w:rsid w:val="000461E7"/>
    <w:rsid w:val="00046FC6"/>
    <w:rsid w:val="0004763A"/>
    <w:rsid w:val="000479C4"/>
    <w:rsid w:val="000513B4"/>
    <w:rsid w:val="000521D6"/>
    <w:rsid w:val="00052FB3"/>
    <w:rsid w:val="00056312"/>
    <w:rsid w:val="000604A3"/>
    <w:rsid w:val="00060760"/>
    <w:rsid w:val="0006232A"/>
    <w:rsid w:val="00064D1A"/>
    <w:rsid w:val="00066A4D"/>
    <w:rsid w:val="00067663"/>
    <w:rsid w:val="00071A76"/>
    <w:rsid w:val="00072E35"/>
    <w:rsid w:val="000742EF"/>
    <w:rsid w:val="0007551E"/>
    <w:rsid w:val="00076ACF"/>
    <w:rsid w:val="0008006D"/>
    <w:rsid w:val="000803B5"/>
    <w:rsid w:val="00080979"/>
    <w:rsid w:val="00081009"/>
    <w:rsid w:val="00081F3E"/>
    <w:rsid w:val="00082E5F"/>
    <w:rsid w:val="000840F9"/>
    <w:rsid w:val="0008625A"/>
    <w:rsid w:val="00086EDA"/>
    <w:rsid w:val="00087759"/>
    <w:rsid w:val="00090063"/>
    <w:rsid w:val="00092B77"/>
    <w:rsid w:val="0009363C"/>
    <w:rsid w:val="00094AEC"/>
    <w:rsid w:val="00095DF5"/>
    <w:rsid w:val="000A1846"/>
    <w:rsid w:val="000A3AB3"/>
    <w:rsid w:val="000A4DEE"/>
    <w:rsid w:val="000A562A"/>
    <w:rsid w:val="000A6409"/>
    <w:rsid w:val="000A66FE"/>
    <w:rsid w:val="000A7144"/>
    <w:rsid w:val="000B0215"/>
    <w:rsid w:val="000B24E7"/>
    <w:rsid w:val="000B7190"/>
    <w:rsid w:val="000B7471"/>
    <w:rsid w:val="000B762F"/>
    <w:rsid w:val="000B7B5E"/>
    <w:rsid w:val="000C2852"/>
    <w:rsid w:val="000C299C"/>
    <w:rsid w:val="000C5153"/>
    <w:rsid w:val="000D5233"/>
    <w:rsid w:val="000D5F18"/>
    <w:rsid w:val="000D66BB"/>
    <w:rsid w:val="000E08C1"/>
    <w:rsid w:val="000E291D"/>
    <w:rsid w:val="000E3F20"/>
    <w:rsid w:val="000E3F9E"/>
    <w:rsid w:val="000E49F2"/>
    <w:rsid w:val="000E4DA7"/>
    <w:rsid w:val="000E502E"/>
    <w:rsid w:val="000E64AE"/>
    <w:rsid w:val="000F075D"/>
    <w:rsid w:val="000F0D83"/>
    <w:rsid w:val="000F337E"/>
    <w:rsid w:val="000F43FF"/>
    <w:rsid w:val="000F5C24"/>
    <w:rsid w:val="000F7F8D"/>
    <w:rsid w:val="00101477"/>
    <w:rsid w:val="00101B2B"/>
    <w:rsid w:val="00102FC8"/>
    <w:rsid w:val="00104C34"/>
    <w:rsid w:val="00105F20"/>
    <w:rsid w:val="00106F12"/>
    <w:rsid w:val="00107107"/>
    <w:rsid w:val="00107FAB"/>
    <w:rsid w:val="001106C7"/>
    <w:rsid w:val="00113DD1"/>
    <w:rsid w:val="00114EE6"/>
    <w:rsid w:val="00116170"/>
    <w:rsid w:val="00117652"/>
    <w:rsid w:val="0012049B"/>
    <w:rsid w:val="00120EED"/>
    <w:rsid w:val="00120F51"/>
    <w:rsid w:val="0012137B"/>
    <w:rsid w:val="0012352D"/>
    <w:rsid w:val="00125003"/>
    <w:rsid w:val="00126052"/>
    <w:rsid w:val="001276C2"/>
    <w:rsid w:val="00127FFE"/>
    <w:rsid w:val="0013083D"/>
    <w:rsid w:val="00132FBB"/>
    <w:rsid w:val="00133AF3"/>
    <w:rsid w:val="00136077"/>
    <w:rsid w:val="00141EB1"/>
    <w:rsid w:val="00145D67"/>
    <w:rsid w:val="0014635A"/>
    <w:rsid w:val="001507A3"/>
    <w:rsid w:val="001521A8"/>
    <w:rsid w:val="00153C7D"/>
    <w:rsid w:val="00155C72"/>
    <w:rsid w:val="001611D7"/>
    <w:rsid w:val="001618DE"/>
    <w:rsid w:val="00162764"/>
    <w:rsid w:val="00162F62"/>
    <w:rsid w:val="001646B9"/>
    <w:rsid w:val="00165D34"/>
    <w:rsid w:val="00165DE5"/>
    <w:rsid w:val="00166E00"/>
    <w:rsid w:val="00166FA4"/>
    <w:rsid w:val="00170B0E"/>
    <w:rsid w:val="00172195"/>
    <w:rsid w:val="00174BEC"/>
    <w:rsid w:val="00175D18"/>
    <w:rsid w:val="001763FD"/>
    <w:rsid w:val="00176BDD"/>
    <w:rsid w:val="001777F5"/>
    <w:rsid w:val="00177E83"/>
    <w:rsid w:val="00180E0B"/>
    <w:rsid w:val="00183905"/>
    <w:rsid w:val="001840A1"/>
    <w:rsid w:val="00184761"/>
    <w:rsid w:val="00185B58"/>
    <w:rsid w:val="00185E43"/>
    <w:rsid w:val="001915AD"/>
    <w:rsid w:val="00192E91"/>
    <w:rsid w:val="00193F1C"/>
    <w:rsid w:val="00194EB9"/>
    <w:rsid w:val="001A0635"/>
    <w:rsid w:val="001A0DFE"/>
    <w:rsid w:val="001A417D"/>
    <w:rsid w:val="001A44D3"/>
    <w:rsid w:val="001A6FD2"/>
    <w:rsid w:val="001B0CAE"/>
    <w:rsid w:val="001B15AC"/>
    <w:rsid w:val="001B55EF"/>
    <w:rsid w:val="001B7031"/>
    <w:rsid w:val="001B7305"/>
    <w:rsid w:val="001C34D4"/>
    <w:rsid w:val="001C3E89"/>
    <w:rsid w:val="001C4267"/>
    <w:rsid w:val="001C71B0"/>
    <w:rsid w:val="001D09B1"/>
    <w:rsid w:val="001D157C"/>
    <w:rsid w:val="001D1BCC"/>
    <w:rsid w:val="001D2916"/>
    <w:rsid w:val="001D3971"/>
    <w:rsid w:val="001D455C"/>
    <w:rsid w:val="001D6548"/>
    <w:rsid w:val="001D6716"/>
    <w:rsid w:val="001D6DD8"/>
    <w:rsid w:val="001D7C05"/>
    <w:rsid w:val="001E1304"/>
    <w:rsid w:val="001E377A"/>
    <w:rsid w:val="001E3E90"/>
    <w:rsid w:val="001E5D54"/>
    <w:rsid w:val="001E65D2"/>
    <w:rsid w:val="001F302A"/>
    <w:rsid w:val="001F5659"/>
    <w:rsid w:val="001F5A22"/>
    <w:rsid w:val="00200DB2"/>
    <w:rsid w:val="0020147C"/>
    <w:rsid w:val="0020291C"/>
    <w:rsid w:val="00203083"/>
    <w:rsid w:val="002048E3"/>
    <w:rsid w:val="002062C2"/>
    <w:rsid w:val="00206D96"/>
    <w:rsid w:val="002071DC"/>
    <w:rsid w:val="00210946"/>
    <w:rsid w:val="0021095C"/>
    <w:rsid w:val="00211A07"/>
    <w:rsid w:val="002127F6"/>
    <w:rsid w:val="00212C5E"/>
    <w:rsid w:val="00212F07"/>
    <w:rsid w:val="002131FA"/>
    <w:rsid w:val="0021456D"/>
    <w:rsid w:val="00214F79"/>
    <w:rsid w:val="00216426"/>
    <w:rsid w:val="00216C65"/>
    <w:rsid w:val="00216E21"/>
    <w:rsid w:val="002171B2"/>
    <w:rsid w:val="00217CFD"/>
    <w:rsid w:val="0022127A"/>
    <w:rsid w:val="00221B16"/>
    <w:rsid w:val="00221B26"/>
    <w:rsid w:val="00222DFB"/>
    <w:rsid w:val="00225590"/>
    <w:rsid w:val="002268F5"/>
    <w:rsid w:val="00226E13"/>
    <w:rsid w:val="00227C27"/>
    <w:rsid w:val="00232121"/>
    <w:rsid w:val="00232AC0"/>
    <w:rsid w:val="0023464F"/>
    <w:rsid w:val="002369AA"/>
    <w:rsid w:val="0023759D"/>
    <w:rsid w:val="0023789E"/>
    <w:rsid w:val="00240C9C"/>
    <w:rsid w:val="00241545"/>
    <w:rsid w:val="00241D95"/>
    <w:rsid w:val="00242A0B"/>
    <w:rsid w:val="00246DC0"/>
    <w:rsid w:val="00247086"/>
    <w:rsid w:val="0024732A"/>
    <w:rsid w:val="00250D5D"/>
    <w:rsid w:val="002518AA"/>
    <w:rsid w:val="00251C7F"/>
    <w:rsid w:val="00252378"/>
    <w:rsid w:val="002539F1"/>
    <w:rsid w:val="00253D8D"/>
    <w:rsid w:val="00254756"/>
    <w:rsid w:val="00255B0B"/>
    <w:rsid w:val="002638C0"/>
    <w:rsid w:val="002643B9"/>
    <w:rsid w:val="00265FB9"/>
    <w:rsid w:val="002666C8"/>
    <w:rsid w:val="00266F1D"/>
    <w:rsid w:val="0027000D"/>
    <w:rsid w:val="002737AA"/>
    <w:rsid w:val="002754EF"/>
    <w:rsid w:val="00277F2C"/>
    <w:rsid w:val="00280963"/>
    <w:rsid w:val="002812A4"/>
    <w:rsid w:val="00282708"/>
    <w:rsid w:val="00285351"/>
    <w:rsid w:val="002854AB"/>
    <w:rsid w:val="0028684D"/>
    <w:rsid w:val="0029136A"/>
    <w:rsid w:val="00292222"/>
    <w:rsid w:val="0029229A"/>
    <w:rsid w:val="00293109"/>
    <w:rsid w:val="002939BE"/>
    <w:rsid w:val="002948AA"/>
    <w:rsid w:val="00297703"/>
    <w:rsid w:val="002A04B0"/>
    <w:rsid w:val="002A5D8B"/>
    <w:rsid w:val="002A5FCA"/>
    <w:rsid w:val="002A61A1"/>
    <w:rsid w:val="002A755C"/>
    <w:rsid w:val="002B0EDD"/>
    <w:rsid w:val="002B2722"/>
    <w:rsid w:val="002B2838"/>
    <w:rsid w:val="002B501F"/>
    <w:rsid w:val="002B5140"/>
    <w:rsid w:val="002B533C"/>
    <w:rsid w:val="002B5E38"/>
    <w:rsid w:val="002C4527"/>
    <w:rsid w:val="002C5AC9"/>
    <w:rsid w:val="002C7452"/>
    <w:rsid w:val="002D2495"/>
    <w:rsid w:val="002D283E"/>
    <w:rsid w:val="002D2CA5"/>
    <w:rsid w:val="002D4792"/>
    <w:rsid w:val="002D4F6A"/>
    <w:rsid w:val="002D7297"/>
    <w:rsid w:val="002D7924"/>
    <w:rsid w:val="002E35A6"/>
    <w:rsid w:val="002E5A40"/>
    <w:rsid w:val="002E5B4A"/>
    <w:rsid w:val="002E6AB8"/>
    <w:rsid w:val="002E7F0B"/>
    <w:rsid w:val="002F118A"/>
    <w:rsid w:val="002F2B47"/>
    <w:rsid w:val="002F3831"/>
    <w:rsid w:val="0030035B"/>
    <w:rsid w:val="00302BAF"/>
    <w:rsid w:val="00303E55"/>
    <w:rsid w:val="0030698A"/>
    <w:rsid w:val="0030773F"/>
    <w:rsid w:val="0031100A"/>
    <w:rsid w:val="00312284"/>
    <w:rsid w:val="00312AFC"/>
    <w:rsid w:val="00312F09"/>
    <w:rsid w:val="00314BE2"/>
    <w:rsid w:val="00323655"/>
    <w:rsid w:val="003238CE"/>
    <w:rsid w:val="00325307"/>
    <w:rsid w:val="00325E51"/>
    <w:rsid w:val="00326A9B"/>
    <w:rsid w:val="003276EB"/>
    <w:rsid w:val="003332C7"/>
    <w:rsid w:val="00334F2D"/>
    <w:rsid w:val="00337153"/>
    <w:rsid w:val="00340350"/>
    <w:rsid w:val="00340E9B"/>
    <w:rsid w:val="00344490"/>
    <w:rsid w:val="00345013"/>
    <w:rsid w:val="00345D28"/>
    <w:rsid w:val="003500B0"/>
    <w:rsid w:val="003509C0"/>
    <w:rsid w:val="00356D6C"/>
    <w:rsid w:val="0036095A"/>
    <w:rsid w:val="00362459"/>
    <w:rsid w:val="003626A2"/>
    <w:rsid w:val="00362961"/>
    <w:rsid w:val="00362A87"/>
    <w:rsid w:val="00362AC0"/>
    <w:rsid w:val="00371CD5"/>
    <w:rsid w:val="0037246A"/>
    <w:rsid w:val="0037397C"/>
    <w:rsid w:val="00374909"/>
    <w:rsid w:val="00375594"/>
    <w:rsid w:val="003756D9"/>
    <w:rsid w:val="003800DE"/>
    <w:rsid w:val="00380811"/>
    <w:rsid w:val="00380B92"/>
    <w:rsid w:val="00383362"/>
    <w:rsid w:val="00383A26"/>
    <w:rsid w:val="003865F9"/>
    <w:rsid w:val="00387805"/>
    <w:rsid w:val="0039092F"/>
    <w:rsid w:val="0039521F"/>
    <w:rsid w:val="003954E1"/>
    <w:rsid w:val="0039598C"/>
    <w:rsid w:val="00397CAB"/>
    <w:rsid w:val="003A74EB"/>
    <w:rsid w:val="003B1EBF"/>
    <w:rsid w:val="003B27AB"/>
    <w:rsid w:val="003B2F89"/>
    <w:rsid w:val="003B4835"/>
    <w:rsid w:val="003B4C07"/>
    <w:rsid w:val="003B7B6E"/>
    <w:rsid w:val="003B7D52"/>
    <w:rsid w:val="003C6027"/>
    <w:rsid w:val="003C6D41"/>
    <w:rsid w:val="003C6EED"/>
    <w:rsid w:val="003D2DC8"/>
    <w:rsid w:val="003D3A88"/>
    <w:rsid w:val="003D5A50"/>
    <w:rsid w:val="003D6670"/>
    <w:rsid w:val="003D7472"/>
    <w:rsid w:val="003D76B9"/>
    <w:rsid w:val="003E1063"/>
    <w:rsid w:val="003E4039"/>
    <w:rsid w:val="003E4254"/>
    <w:rsid w:val="003E5B64"/>
    <w:rsid w:val="003E6F04"/>
    <w:rsid w:val="003E75EF"/>
    <w:rsid w:val="003F3406"/>
    <w:rsid w:val="003F3818"/>
    <w:rsid w:val="003F4E1C"/>
    <w:rsid w:val="003F4F8F"/>
    <w:rsid w:val="003F57D7"/>
    <w:rsid w:val="003F6B3A"/>
    <w:rsid w:val="0040152F"/>
    <w:rsid w:val="00403740"/>
    <w:rsid w:val="00405171"/>
    <w:rsid w:val="004062EC"/>
    <w:rsid w:val="00406CB0"/>
    <w:rsid w:val="00411221"/>
    <w:rsid w:val="00411B12"/>
    <w:rsid w:val="00411F21"/>
    <w:rsid w:val="004149EE"/>
    <w:rsid w:val="00416192"/>
    <w:rsid w:val="004212CC"/>
    <w:rsid w:val="004218CD"/>
    <w:rsid w:val="0042371A"/>
    <w:rsid w:val="0042383F"/>
    <w:rsid w:val="00425895"/>
    <w:rsid w:val="0042685D"/>
    <w:rsid w:val="00431901"/>
    <w:rsid w:val="004330A1"/>
    <w:rsid w:val="00433896"/>
    <w:rsid w:val="00434678"/>
    <w:rsid w:val="00434CF7"/>
    <w:rsid w:val="004354B2"/>
    <w:rsid w:val="00435D96"/>
    <w:rsid w:val="00437858"/>
    <w:rsid w:val="00440418"/>
    <w:rsid w:val="0044153F"/>
    <w:rsid w:val="00442517"/>
    <w:rsid w:val="004428D3"/>
    <w:rsid w:val="00442B5A"/>
    <w:rsid w:val="00443BAD"/>
    <w:rsid w:val="00444653"/>
    <w:rsid w:val="004449D1"/>
    <w:rsid w:val="004469A1"/>
    <w:rsid w:val="00446B8E"/>
    <w:rsid w:val="00447A43"/>
    <w:rsid w:val="00452AAB"/>
    <w:rsid w:val="0045553C"/>
    <w:rsid w:val="00455807"/>
    <w:rsid w:val="00456956"/>
    <w:rsid w:val="004603D6"/>
    <w:rsid w:val="00461548"/>
    <w:rsid w:val="00462084"/>
    <w:rsid w:val="00462371"/>
    <w:rsid w:val="004624EF"/>
    <w:rsid w:val="004638F1"/>
    <w:rsid w:val="004647A2"/>
    <w:rsid w:val="00464B9C"/>
    <w:rsid w:val="0047019B"/>
    <w:rsid w:val="00471B7D"/>
    <w:rsid w:val="0047271D"/>
    <w:rsid w:val="00476BE8"/>
    <w:rsid w:val="0048032C"/>
    <w:rsid w:val="004807BF"/>
    <w:rsid w:val="0048288E"/>
    <w:rsid w:val="00482C44"/>
    <w:rsid w:val="00483214"/>
    <w:rsid w:val="00483475"/>
    <w:rsid w:val="00483859"/>
    <w:rsid w:val="004861A0"/>
    <w:rsid w:val="00487864"/>
    <w:rsid w:val="00490527"/>
    <w:rsid w:val="004916F2"/>
    <w:rsid w:val="00491EFF"/>
    <w:rsid w:val="00493743"/>
    <w:rsid w:val="00493CEF"/>
    <w:rsid w:val="00496861"/>
    <w:rsid w:val="00496C14"/>
    <w:rsid w:val="004A0277"/>
    <w:rsid w:val="004A2738"/>
    <w:rsid w:val="004A5792"/>
    <w:rsid w:val="004A57F9"/>
    <w:rsid w:val="004A61C5"/>
    <w:rsid w:val="004B0513"/>
    <w:rsid w:val="004B1EB9"/>
    <w:rsid w:val="004B42D4"/>
    <w:rsid w:val="004B507A"/>
    <w:rsid w:val="004B5371"/>
    <w:rsid w:val="004B683B"/>
    <w:rsid w:val="004B6AB9"/>
    <w:rsid w:val="004B7848"/>
    <w:rsid w:val="004B7D09"/>
    <w:rsid w:val="004D094C"/>
    <w:rsid w:val="004D289A"/>
    <w:rsid w:val="004D6CDB"/>
    <w:rsid w:val="004E0804"/>
    <w:rsid w:val="004E09EB"/>
    <w:rsid w:val="004E1997"/>
    <w:rsid w:val="004E3281"/>
    <w:rsid w:val="004E39F2"/>
    <w:rsid w:val="004E5920"/>
    <w:rsid w:val="004E6267"/>
    <w:rsid w:val="004E67A4"/>
    <w:rsid w:val="004E6E1A"/>
    <w:rsid w:val="004F2358"/>
    <w:rsid w:val="004F330F"/>
    <w:rsid w:val="004F3FAB"/>
    <w:rsid w:val="004F51DC"/>
    <w:rsid w:val="00501C21"/>
    <w:rsid w:val="00502D91"/>
    <w:rsid w:val="00505655"/>
    <w:rsid w:val="00505C73"/>
    <w:rsid w:val="00512F58"/>
    <w:rsid w:val="00520834"/>
    <w:rsid w:val="005229C8"/>
    <w:rsid w:val="00527405"/>
    <w:rsid w:val="00527A67"/>
    <w:rsid w:val="00527E6D"/>
    <w:rsid w:val="005306D0"/>
    <w:rsid w:val="00531010"/>
    <w:rsid w:val="00535DE5"/>
    <w:rsid w:val="00536568"/>
    <w:rsid w:val="00541489"/>
    <w:rsid w:val="0054445D"/>
    <w:rsid w:val="00554DFB"/>
    <w:rsid w:val="005552F8"/>
    <w:rsid w:val="00557C57"/>
    <w:rsid w:val="00560B9A"/>
    <w:rsid w:val="005625DA"/>
    <w:rsid w:val="00563420"/>
    <w:rsid w:val="005654F8"/>
    <w:rsid w:val="005658FB"/>
    <w:rsid w:val="005735B6"/>
    <w:rsid w:val="005737DE"/>
    <w:rsid w:val="00576299"/>
    <w:rsid w:val="00577BD1"/>
    <w:rsid w:val="00580DA5"/>
    <w:rsid w:val="00581276"/>
    <w:rsid w:val="0058522D"/>
    <w:rsid w:val="005866AD"/>
    <w:rsid w:val="00586B53"/>
    <w:rsid w:val="005870ED"/>
    <w:rsid w:val="00590D2D"/>
    <w:rsid w:val="0059109E"/>
    <w:rsid w:val="00591317"/>
    <w:rsid w:val="00594A17"/>
    <w:rsid w:val="00595684"/>
    <w:rsid w:val="005964F3"/>
    <w:rsid w:val="00596E96"/>
    <w:rsid w:val="00597754"/>
    <w:rsid w:val="005A007D"/>
    <w:rsid w:val="005A061C"/>
    <w:rsid w:val="005A0EDC"/>
    <w:rsid w:val="005A0F4D"/>
    <w:rsid w:val="005A1F83"/>
    <w:rsid w:val="005A3304"/>
    <w:rsid w:val="005A4AA9"/>
    <w:rsid w:val="005A712E"/>
    <w:rsid w:val="005A7936"/>
    <w:rsid w:val="005B0BB6"/>
    <w:rsid w:val="005B1597"/>
    <w:rsid w:val="005B1A0B"/>
    <w:rsid w:val="005B4193"/>
    <w:rsid w:val="005B41F6"/>
    <w:rsid w:val="005B4ACC"/>
    <w:rsid w:val="005B5439"/>
    <w:rsid w:val="005C1483"/>
    <w:rsid w:val="005C1A3B"/>
    <w:rsid w:val="005C2285"/>
    <w:rsid w:val="005C2959"/>
    <w:rsid w:val="005C3A40"/>
    <w:rsid w:val="005C4DBE"/>
    <w:rsid w:val="005C6168"/>
    <w:rsid w:val="005C61EE"/>
    <w:rsid w:val="005D4928"/>
    <w:rsid w:val="005D664C"/>
    <w:rsid w:val="005E4977"/>
    <w:rsid w:val="005E518D"/>
    <w:rsid w:val="005E54AA"/>
    <w:rsid w:val="005E6453"/>
    <w:rsid w:val="005E68B7"/>
    <w:rsid w:val="005E7FB2"/>
    <w:rsid w:val="005F3B78"/>
    <w:rsid w:val="005F5FA7"/>
    <w:rsid w:val="005F7901"/>
    <w:rsid w:val="00600372"/>
    <w:rsid w:val="00601F14"/>
    <w:rsid w:val="00602CE2"/>
    <w:rsid w:val="006030E8"/>
    <w:rsid w:val="00604CF3"/>
    <w:rsid w:val="0060671B"/>
    <w:rsid w:val="00607ABD"/>
    <w:rsid w:val="00613947"/>
    <w:rsid w:val="0061602B"/>
    <w:rsid w:val="00616492"/>
    <w:rsid w:val="0062065C"/>
    <w:rsid w:val="00620944"/>
    <w:rsid w:val="00620F8C"/>
    <w:rsid w:val="00623C19"/>
    <w:rsid w:val="00623D8B"/>
    <w:rsid w:val="006241C0"/>
    <w:rsid w:val="00625D55"/>
    <w:rsid w:val="0062706A"/>
    <w:rsid w:val="00627349"/>
    <w:rsid w:val="00633D3D"/>
    <w:rsid w:val="006341B7"/>
    <w:rsid w:val="0063758B"/>
    <w:rsid w:val="00637EA7"/>
    <w:rsid w:val="00641705"/>
    <w:rsid w:val="00642762"/>
    <w:rsid w:val="0064348D"/>
    <w:rsid w:val="00644E0C"/>
    <w:rsid w:val="00645402"/>
    <w:rsid w:val="006457C1"/>
    <w:rsid w:val="0064692B"/>
    <w:rsid w:val="00650C58"/>
    <w:rsid w:val="00655BD7"/>
    <w:rsid w:val="00655DDA"/>
    <w:rsid w:val="00656325"/>
    <w:rsid w:val="00656887"/>
    <w:rsid w:val="00656889"/>
    <w:rsid w:val="00656FD1"/>
    <w:rsid w:val="00657D84"/>
    <w:rsid w:val="00661310"/>
    <w:rsid w:val="00661929"/>
    <w:rsid w:val="00662556"/>
    <w:rsid w:val="0066447C"/>
    <w:rsid w:val="006644B9"/>
    <w:rsid w:val="00665474"/>
    <w:rsid w:val="00671CA3"/>
    <w:rsid w:val="0067398F"/>
    <w:rsid w:val="006759A8"/>
    <w:rsid w:val="00675B2D"/>
    <w:rsid w:val="00682E21"/>
    <w:rsid w:val="0068465D"/>
    <w:rsid w:val="006860BB"/>
    <w:rsid w:val="00690D8C"/>
    <w:rsid w:val="00691C21"/>
    <w:rsid w:val="00692471"/>
    <w:rsid w:val="00695842"/>
    <w:rsid w:val="00695A97"/>
    <w:rsid w:val="006A20F1"/>
    <w:rsid w:val="006A469E"/>
    <w:rsid w:val="006A60C3"/>
    <w:rsid w:val="006A6608"/>
    <w:rsid w:val="006A77C9"/>
    <w:rsid w:val="006B111F"/>
    <w:rsid w:val="006B1867"/>
    <w:rsid w:val="006B31C0"/>
    <w:rsid w:val="006B3CE0"/>
    <w:rsid w:val="006B3DDE"/>
    <w:rsid w:val="006B3F4F"/>
    <w:rsid w:val="006B5153"/>
    <w:rsid w:val="006B6EE6"/>
    <w:rsid w:val="006C069C"/>
    <w:rsid w:val="006C19A8"/>
    <w:rsid w:val="006C489D"/>
    <w:rsid w:val="006C4FA9"/>
    <w:rsid w:val="006C5345"/>
    <w:rsid w:val="006C62E3"/>
    <w:rsid w:val="006C6A1C"/>
    <w:rsid w:val="006C7F8A"/>
    <w:rsid w:val="006D2AFA"/>
    <w:rsid w:val="006D330A"/>
    <w:rsid w:val="006D4687"/>
    <w:rsid w:val="006D4FBB"/>
    <w:rsid w:val="006D57B9"/>
    <w:rsid w:val="006D77E2"/>
    <w:rsid w:val="006D785D"/>
    <w:rsid w:val="006E0469"/>
    <w:rsid w:val="006E0513"/>
    <w:rsid w:val="006E0824"/>
    <w:rsid w:val="006E0DD0"/>
    <w:rsid w:val="006E1E47"/>
    <w:rsid w:val="006E2FEB"/>
    <w:rsid w:val="006E6B4C"/>
    <w:rsid w:val="006F0523"/>
    <w:rsid w:val="006F31C8"/>
    <w:rsid w:val="006F34CD"/>
    <w:rsid w:val="006F3CE3"/>
    <w:rsid w:val="006F5972"/>
    <w:rsid w:val="006F5FF6"/>
    <w:rsid w:val="006F7BB6"/>
    <w:rsid w:val="00702231"/>
    <w:rsid w:val="007038F7"/>
    <w:rsid w:val="00705ABF"/>
    <w:rsid w:val="0070793F"/>
    <w:rsid w:val="00710666"/>
    <w:rsid w:val="00713BCF"/>
    <w:rsid w:val="007171B3"/>
    <w:rsid w:val="007177B0"/>
    <w:rsid w:val="00717CF1"/>
    <w:rsid w:val="007206AB"/>
    <w:rsid w:val="00721845"/>
    <w:rsid w:val="00722031"/>
    <w:rsid w:val="00724645"/>
    <w:rsid w:val="00725B4A"/>
    <w:rsid w:val="00727AFA"/>
    <w:rsid w:val="007304A1"/>
    <w:rsid w:val="00730C06"/>
    <w:rsid w:val="00732818"/>
    <w:rsid w:val="00733170"/>
    <w:rsid w:val="00734A5C"/>
    <w:rsid w:val="007367A7"/>
    <w:rsid w:val="00740449"/>
    <w:rsid w:val="007423D1"/>
    <w:rsid w:val="00744A83"/>
    <w:rsid w:val="00744B6A"/>
    <w:rsid w:val="00744EFD"/>
    <w:rsid w:val="00745445"/>
    <w:rsid w:val="00750297"/>
    <w:rsid w:val="00750A1B"/>
    <w:rsid w:val="00750B7D"/>
    <w:rsid w:val="00751660"/>
    <w:rsid w:val="00752B18"/>
    <w:rsid w:val="00752F57"/>
    <w:rsid w:val="00753B35"/>
    <w:rsid w:val="00753BD6"/>
    <w:rsid w:val="0076273D"/>
    <w:rsid w:val="00764D29"/>
    <w:rsid w:val="007652ED"/>
    <w:rsid w:val="00766269"/>
    <w:rsid w:val="00766D04"/>
    <w:rsid w:val="00767461"/>
    <w:rsid w:val="00770EFE"/>
    <w:rsid w:val="00774F94"/>
    <w:rsid w:val="007750AD"/>
    <w:rsid w:val="0077675F"/>
    <w:rsid w:val="00776A41"/>
    <w:rsid w:val="0077715A"/>
    <w:rsid w:val="007808EF"/>
    <w:rsid w:val="00782146"/>
    <w:rsid w:val="00783F5F"/>
    <w:rsid w:val="00785C3C"/>
    <w:rsid w:val="00785DA3"/>
    <w:rsid w:val="0078637E"/>
    <w:rsid w:val="007901FD"/>
    <w:rsid w:val="007939AD"/>
    <w:rsid w:val="00796AE5"/>
    <w:rsid w:val="0079725D"/>
    <w:rsid w:val="007A2D52"/>
    <w:rsid w:val="007A3879"/>
    <w:rsid w:val="007A4F93"/>
    <w:rsid w:val="007A6866"/>
    <w:rsid w:val="007B166F"/>
    <w:rsid w:val="007B1773"/>
    <w:rsid w:val="007B1F25"/>
    <w:rsid w:val="007B2A72"/>
    <w:rsid w:val="007B3948"/>
    <w:rsid w:val="007B4327"/>
    <w:rsid w:val="007B67BC"/>
    <w:rsid w:val="007B732D"/>
    <w:rsid w:val="007B744D"/>
    <w:rsid w:val="007C061E"/>
    <w:rsid w:val="007C13AB"/>
    <w:rsid w:val="007C2C4D"/>
    <w:rsid w:val="007C3C64"/>
    <w:rsid w:val="007C444F"/>
    <w:rsid w:val="007C4D1C"/>
    <w:rsid w:val="007C4D64"/>
    <w:rsid w:val="007C4E37"/>
    <w:rsid w:val="007C596B"/>
    <w:rsid w:val="007D01E1"/>
    <w:rsid w:val="007D0E27"/>
    <w:rsid w:val="007D2267"/>
    <w:rsid w:val="007D2C09"/>
    <w:rsid w:val="007D2DA4"/>
    <w:rsid w:val="007D3D64"/>
    <w:rsid w:val="007D42AA"/>
    <w:rsid w:val="007D53BE"/>
    <w:rsid w:val="007D6CE7"/>
    <w:rsid w:val="007D760E"/>
    <w:rsid w:val="007E00D1"/>
    <w:rsid w:val="007E4057"/>
    <w:rsid w:val="007E47BE"/>
    <w:rsid w:val="007E6C90"/>
    <w:rsid w:val="007F1A9C"/>
    <w:rsid w:val="007F26AB"/>
    <w:rsid w:val="007F3BA6"/>
    <w:rsid w:val="007F6ECF"/>
    <w:rsid w:val="007F7C00"/>
    <w:rsid w:val="0080025E"/>
    <w:rsid w:val="00801B8C"/>
    <w:rsid w:val="008024F4"/>
    <w:rsid w:val="008026AF"/>
    <w:rsid w:val="008027C7"/>
    <w:rsid w:val="00802BA6"/>
    <w:rsid w:val="00802EBE"/>
    <w:rsid w:val="00806A22"/>
    <w:rsid w:val="008117A4"/>
    <w:rsid w:val="0081216D"/>
    <w:rsid w:val="00822510"/>
    <w:rsid w:val="00823D0A"/>
    <w:rsid w:val="00824669"/>
    <w:rsid w:val="00825EAF"/>
    <w:rsid w:val="00826B75"/>
    <w:rsid w:val="0082762E"/>
    <w:rsid w:val="00827B0D"/>
    <w:rsid w:val="00830CDB"/>
    <w:rsid w:val="008319A6"/>
    <w:rsid w:val="00832542"/>
    <w:rsid w:val="008353DF"/>
    <w:rsid w:val="00835C28"/>
    <w:rsid w:val="00835FF8"/>
    <w:rsid w:val="008362D4"/>
    <w:rsid w:val="008365A8"/>
    <w:rsid w:val="008407B0"/>
    <w:rsid w:val="00841B96"/>
    <w:rsid w:val="00841C33"/>
    <w:rsid w:val="00842D79"/>
    <w:rsid w:val="00845AFA"/>
    <w:rsid w:val="00847CA5"/>
    <w:rsid w:val="008502C4"/>
    <w:rsid w:val="008503B3"/>
    <w:rsid w:val="008516AE"/>
    <w:rsid w:val="008577AA"/>
    <w:rsid w:val="008630DA"/>
    <w:rsid w:val="008635BA"/>
    <w:rsid w:val="00866E76"/>
    <w:rsid w:val="00867F99"/>
    <w:rsid w:val="00870B45"/>
    <w:rsid w:val="00871E10"/>
    <w:rsid w:val="00872441"/>
    <w:rsid w:val="008755B4"/>
    <w:rsid w:val="008756A9"/>
    <w:rsid w:val="0087696E"/>
    <w:rsid w:val="00877238"/>
    <w:rsid w:val="00877D5B"/>
    <w:rsid w:val="00881A36"/>
    <w:rsid w:val="0088454A"/>
    <w:rsid w:val="00884F3B"/>
    <w:rsid w:val="008852C0"/>
    <w:rsid w:val="00885AD6"/>
    <w:rsid w:val="0088660F"/>
    <w:rsid w:val="00890845"/>
    <w:rsid w:val="00890CD0"/>
    <w:rsid w:val="00890E1D"/>
    <w:rsid w:val="00893115"/>
    <w:rsid w:val="008963E1"/>
    <w:rsid w:val="00896F95"/>
    <w:rsid w:val="008A0408"/>
    <w:rsid w:val="008A35C2"/>
    <w:rsid w:val="008A3F4A"/>
    <w:rsid w:val="008A5214"/>
    <w:rsid w:val="008A5610"/>
    <w:rsid w:val="008A658F"/>
    <w:rsid w:val="008B024A"/>
    <w:rsid w:val="008B479C"/>
    <w:rsid w:val="008B69F3"/>
    <w:rsid w:val="008C0264"/>
    <w:rsid w:val="008C037B"/>
    <w:rsid w:val="008C143C"/>
    <w:rsid w:val="008C2BF6"/>
    <w:rsid w:val="008C3B6A"/>
    <w:rsid w:val="008D10F4"/>
    <w:rsid w:val="008D1B01"/>
    <w:rsid w:val="008D1E47"/>
    <w:rsid w:val="008D1F12"/>
    <w:rsid w:val="008D2E1F"/>
    <w:rsid w:val="008D4059"/>
    <w:rsid w:val="008D45BD"/>
    <w:rsid w:val="008E32E8"/>
    <w:rsid w:val="008E59B2"/>
    <w:rsid w:val="008E6319"/>
    <w:rsid w:val="008E7FDB"/>
    <w:rsid w:val="008F1BE5"/>
    <w:rsid w:val="008F2E68"/>
    <w:rsid w:val="008F3138"/>
    <w:rsid w:val="008F33E7"/>
    <w:rsid w:val="008F3628"/>
    <w:rsid w:val="008F3645"/>
    <w:rsid w:val="008F4F08"/>
    <w:rsid w:val="008F6298"/>
    <w:rsid w:val="008F6D3A"/>
    <w:rsid w:val="00902712"/>
    <w:rsid w:val="009060AA"/>
    <w:rsid w:val="00906392"/>
    <w:rsid w:val="00907CE6"/>
    <w:rsid w:val="009128D6"/>
    <w:rsid w:val="00912FA6"/>
    <w:rsid w:val="00914BBB"/>
    <w:rsid w:val="00917B8F"/>
    <w:rsid w:val="00923B11"/>
    <w:rsid w:val="00930CB5"/>
    <w:rsid w:val="00931A03"/>
    <w:rsid w:val="009324B3"/>
    <w:rsid w:val="009340A5"/>
    <w:rsid w:val="009348A8"/>
    <w:rsid w:val="00934B78"/>
    <w:rsid w:val="00943171"/>
    <w:rsid w:val="00943CC8"/>
    <w:rsid w:val="00945D83"/>
    <w:rsid w:val="00946695"/>
    <w:rsid w:val="00951E60"/>
    <w:rsid w:val="00952191"/>
    <w:rsid w:val="009525C9"/>
    <w:rsid w:val="00953378"/>
    <w:rsid w:val="00953B08"/>
    <w:rsid w:val="00953D6D"/>
    <w:rsid w:val="00955A5E"/>
    <w:rsid w:val="00970CC8"/>
    <w:rsid w:val="009728A7"/>
    <w:rsid w:val="009741F4"/>
    <w:rsid w:val="00974CB4"/>
    <w:rsid w:val="00975F31"/>
    <w:rsid w:val="009807BB"/>
    <w:rsid w:val="00982909"/>
    <w:rsid w:val="00984BC6"/>
    <w:rsid w:val="00985274"/>
    <w:rsid w:val="00990396"/>
    <w:rsid w:val="00994428"/>
    <w:rsid w:val="009970D4"/>
    <w:rsid w:val="009978C2"/>
    <w:rsid w:val="009A15A8"/>
    <w:rsid w:val="009A16B5"/>
    <w:rsid w:val="009A2490"/>
    <w:rsid w:val="009A2C7B"/>
    <w:rsid w:val="009A2D21"/>
    <w:rsid w:val="009A3796"/>
    <w:rsid w:val="009A39BB"/>
    <w:rsid w:val="009A5045"/>
    <w:rsid w:val="009A5D77"/>
    <w:rsid w:val="009B0D0D"/>
    <w:rsid w:val="009B30D4"/>
    <w:rsid w:val="009B349D"/>
    <w:rsid w:val="009B3E23"/>
    <w:rsid w:val="009B52D8"/>
    <w:rsid w:val="009B5D51"/>
    <w:rsid w:val="009B5F95"/>
    <w:rsid w:val="009B60EB"/>
    <w:rsid w:val="009B765D"/>
    <w:rsid w:val="009B7DBE"/>
    <w:rsid w:val="009C1744"/>
    <w:rsid w:val="009C3C4D"/>
    <w:rsid w:val="009C3EC0"/>
    <w:rsid w:val="009C4A3A"/>
    <w:rsid w:val="009D0EEC"/>
    <w:rsid w:val="009D23EA"/>
    <w:rsid w:val="009D393D"/>
    <w:rsid w:val="009D3E9F"/>
    <w:rsid w:val="009D5F96"/>
    <w:rsid w:val="009D656E"/>
    <w:rsid w:val="009D675D"/>
    <w:rsid w:val="009D6E6F"/>
    <w:rsid w:val="009E00C0"/>
    <w:rsid w:val="009E0DFF"/>
    <w:rsid w:val="009E2E4E"/>
    <w:rsid w:val="009E35AE"/>
    <w:rsid w:val="009E4BF3"/>
    <w:rsid w:val="009E4C87"/>
    <w:rsid w:val="009E4FBF"/>
    <w:rsid w:val="009E53ED"/>
    <w:rsid w:val="009E5E57"/>
    <w:rsid w:val="009E600D"/>
    <w:rsid w:val="009E6C19"/>
    <w:rsid w:val="009E6F03"/>
    <w:rsid w:val="009F0839"/>
    <w:rsid w:val="009F2F06"/>
    <w:rsid w:val="009F3051"/>
    <w:rsid w:val="009F5162"/>
    <w:rsid w:val="009F56EA"/>
    <w:rsid w:val="009F73A6"/>
    <w:rsid w:val="009F73C7"/>
    <w:rsid w:val="009F76D4"/>
    <w:rsid w:val="00A000DD"/>
    <w:rsid w:val="00A01DBE"/>
    <w:rsid w:val="00A02581"/>
    <w:rsid w:val="00A02EBD"/>
    <w:rsid w:val="00A02F4A"/>
    <w:rsid w:val="00A03572"/>
    <w:rsid w:val="00A03875"/>
    <w:rsid w:val="00A05BF5"/>
    <w:rsid w:val="00A06335"/>
    <w:rsid w:val="00A0759E"/>
    <w:rsid w:val="00A103EF"/>
    <w:rsid w:val="00A13244"/>
    <w:rsid w:val="00A15AC5"/>
    <w:rsid w:val="00A16431"/>
    <w:rsid w:val="00A16E89"/>
    <w:rsid w:val="00A17742"/>
    <w:rsid w:val="00A23BFD"/>
    <w:rsid w:val="00A2773D"/>
    <w:rsid w:val="00A30403"/>
    <w:rsid w:val="00A30F1E"/>
    <w:rsid w:val="00A3172E"/>
    <w:rsid w:val="00A31F20"/>
    <w:rsid w:val="00A322E0"/>
    <w:rsid w:val="00A34AE8"/>
    <w:rsid w:val="00A36643"/>
    <w:rsid w:val="00A37A44"/>
    <w:rsid w:val="00A43A57"/>
    <w:rsid w:val="00A452E5"/>
    <w:rsid w:val="00A508C0"/>
    <w:rsid w:val="00A512C3"/>
    <w:rsid w:val="00A519BA"/>
    <w:rsid w:val="00A53E30"/>
    <w:rsid w:val="00A53F9D"/>
    <w:rsid w:val="00A7173F"/>
    <w:rsid w:val="00A731F2"/>
    <w:rsid w:val="00A74D4B"/>
    <w:rsid w:val="00A75B2A"/>
    <w:rsid w:val="00A7791B"/>
    <w:rsid w:val="00A848EB"/>
    <w:rsid w:val="00A86261"/>
    <w:rsid w:val="00A91446"/>
    <w:rsid w:val="00A91470"/>
    <w:rsid w:val="00A91B20"/>
    <w:rsid w:val="00A91EE8"/>
    <w:rsid w:val="00A93215"/>
    <w:rsid w:val="00A93AE3"/>
    <w:rsid w:val="00A94588"/>
    <w:rsid w:val="00AA10F3"/>
    <w:rsid w:val="00AA4D53"/>
    <w:rsid w:val="00AA7880"/>
    <w:rsid w:val="00AA7D4D"/>
    <w:rsid w:val="00AB104E"/>
    <w:rsid w:val="00AB12A9"/>
    <w:rsid w:val="00AB1824"/>
    <w:rsid w:val="00AB1A23"/>
    <w:rsid w:val="00AB25C6"/>
    <w:rsid w:val="00AB44FA"/>
    <w:rsid w:val="00AC0255"/>
    <w:rsid w:val="00AC108F"/>
    <w:rsid w:val="00AC1215"/>
    <w:rsid w:val="00AC14CA"/>
    <w:rsid w:val="00AC1D55"/>
    <w:rsid w:val="00AC241B"/>
    <w:rsid w:val="00AC3192"/>
    <w:rsid w:val="00AC3A5D"/>
    <w:rsid w:val="00AC4180"/>
    <w:rsid w:val="00AC61F4"/>
    <w:rsid w:val="00AC70DF"/>
    <w:rsid w:val="00AD4C7A"/>
    <w:rsid w:val="00AD4F88"/>
    <w:rsid w:val="00AD5645"/>
    <w:rsid w:val="00AD6387"/>
    <w:rsid w:val="00AD6505"/>
    <w:rsid w:val="00AD69B2"/>
    <w:rsid w:val="00AE06AC"/>
    <w:rsid w:val="00AE12D5"/>
    <w:rsid w:val="00AE19FD"/>
    <w:rsid w:val="00AE4638"/>
    <w:rsid w:val="00AE6BD4"/>
    <w:rsid w:val="00AE765B"/>
    <w:rsid w:val="00AE7BFD"/>
    <w:rsid w:val="00AF198C"/>
    <w:rsid w:val="00AF1B1E"/>
    <w:rsid w:val="00AF1BF5"/>
    <w:rsid w:val="00AF38A1"/>
    <w:rsid w:val="00AF4E81"/>
    <w:rsid w:val="00B00B99"/>
    <w:rsid w:val="00B02B0A"/>
    <w:rsid w:val="00B056AB"/>
    <w:rsid w:val="00B065A2"/>
    <w:rsid w:val="00B0777F"/>
    <w:rsid w:val="00B077C9"/>
    <w:rsid w:val="00B11033"/>
    <w:rsid w:val="00B11CB2"/>
    <w:rsid w:val="00B12616"/>
    <w:rsid w:val="00B146A6"/>
    <w:rsid w:val="00B179AC"/>
    <w:rsid w:val="00B21769"/>
    <w:rsid w:val="00B228FE"/>
    <w:rsid w:val="00B22A67"/>
    <w:rsid w:val="00B23607"/>
    <w:rsid w:val="00B23B97"/>
    <w:rsid w:val="00B242A1"/>
    <w:rsid w:val="00B24F92"/>
    <w:rsid w:val="00B267E7"/>
    <w:rsid w:val="00B27DA2"/>
    <w:rsid w:val="00B3194D"/>
    <w:rsid w:val="00B32485"/>
    <w:rsid w:val="00B32603"/>
    <w:rsid w:val="00B3298A"/>
    <w:rsid w:val="00B33188"/>
    <w:rsid w:val="00B33530"/>
    <w:rsid w:val="00B34298"/>
    <w:rsid w:val="00B343AE"/>
    <w:rsid w:val="00B34F6B"/>
    <w:rsid w:val="00B35FA1"/>
    <w:rsid w:val="00B4065D"/>
    <w:rsid w:val="00B41ADB"/>
    <w:rsid w:val="00B41DB6"/>
    <w:rsid w:val="00B41E15"/>
    <w:rsid w:val="00B425F7"/>
    <w:rsid w:val="00B430C0"/>
    <w:rsid w:val="00B4377B"/>
    <w:rsid w:val="00B439EE"/>
    <w:rsid w:val="00B45D98"/>
    <w:rsid w:val="00B4724C"/>
    <w:rsid w:val="00B47CC2"/>
    <w:rsid w:val="00B5198B"/>
    <w:rsid w:val="00B52B40"/>
    <w:rsid w:val="00B5323B"/>
    <w:rsid w:val="00B5473B"/>
    <w:rsid w:val="00B61D8A"/>
    <w:rsid w:val="00B6402F"/>
    <w:rsid w:val="00B6648D"/>
    <w:rsid w:val="00B6760F"/>
    <w:rsid w:val="00B718E8"/>
    <w:rsid w:val="00B735E0"/>
    <w:rsid w:val="00B74C21"/>
    <w:rsid w:val="00B75B74"/>
    <w:rsid w:val="00B75F5E"/>
    <w:rsid w:val="00B761F8"/>
    <w:rsid w:val="00B768AF"/>
    <w:rsid w:val="00B769A8"/>
    <w:rsid w:val="00B76C15"/>
    <w:rsid w:val="00B847AC"/>
    <w:rsid w:val="00B859E3"/>
    <w:rsid w:val="00B8734E"/>
    <w:rsid w:val="00B90F27"/>
    <w:rsid w:val="00B939F7"/>
    <w:rsid w:val="00B958F0"/>
    <w:rsid w:val="00BA2FDE"/>
    <w:rsid w:val="00BA31E6"/>
    <w:rsid w:val="00BA55B5"/>
    <w:rsid w:val="00BA60CA"/>
    <w:rsid w:val="00BA6950"/>
    <w:rsid w:val="00BB0C61"/>
    <w:rsid w:val="00BB75BC"/>
    <w:rsid w:val="00BB75C9"/>
    <w:rsid w:val="00BB7CF7"/>
    <w:rsid w:val="00BC0FB8"/>
    <w:rsid w:val="00BC1464"/>
    <w:rsid w:val="00BC2342"/>
    <w:rsid w:val="00BC7072"/>
    <w:rsid w:val="00BC7BD9"/>
    <w:rsid w:val="00BD2F2E"/>
    <w:rsid w:val="00BD371B"/>
    <w:rsid w:val="00BD4449"/>
    <w:rsid w:val="00BD5A05"/>
    <w:rsid w:val="00BD6370"/>
    <w:rsid w:val="00BD6CC9"/>
    <w:rsid w:val="00BD6DA9"/>
    <w:rsid w:val="00BE4D97"/>
    <w:rsid w:val="00BE5740"/>
    <w:rsid w:val="00BE667A"/>
    <w:rsid w:val="00BE6A36"/>
    <w:rsid w:val="00BF0545"/>
    <w:rsid w:val="00BF0A60"/>
    <w:rsid w:val="00BF0BD2"/>
    <w:rsid w:val="00BF171D"/>
    <w:rsid w:val="00BF1846"/>
    <w:rsid w:val="00BF1927"/>
    <w:rsid w:val="00BF1E1E"/>
    <w:rsid w:val="00BF1E87"/>
    <w:rsid w:val="00BF225D"/>
    <w:rsid w:val="00BF2700"/>
    <w:rsid w:val="00BF350E"/>
    <w:rsid w:val="00BF51AA"/>
    <w:rsid w:val="00BF5B62"/>
    <w:rsid w:val="00BF688A"/>
    <w:rsid w:val="00C01535"/>
    <w:rsid w:val="00C02598"/>
    <w:rsid w:val="00C03481"/>
    <w:rsid w:val="00C03804"/>
    <w:rsid w:val="00C04017"/>
    <w:rsid w:val="00C04EFF"/>
    <w:rsid w:val="00C05260"/>
    <w:rsid w:val="00C05A32"/>
    <w:rsid w:val="00C06F6B"/>
    <w:rsid w:val="00C07C6D"/>
    <w:rsid w:val="00C07EBD"/>
    <w:rsid w:val="00C10ED5"/>
    <w:rsid w:val="00C13542"/>
    <w:rsid w:val="00C15774"/>
    <w:rsid w:val="00C16060"/>
    <w:rsid w:val="00C17629"/>
    <w:rsid w:val="00C25074"/>
    <w:rsid w:val="00C25316"/>
    <w:rsid w:val="00C26116"/>
    <w:rsid w:val="00C273BA"/>
    <w:rsid w:val="00C309D2"/>
    <w:rsid w:val="00C30E73"/>
    <w:rsid w:val="00C334E3"/>
    <w:rsid w:val="00C33661"/>
    <w:rsid w:val="00C36901"/>
    <w:rsid w:val="00C4013E"/>
    <w:rsid w:val="00C40843"/>
    <w:rsid w:val="00C42623"/>
    <w:rsid w:val="00C436A2"/>
    <w:rsid w:val="00C45D52"/>
    <w:rsid w:val="00C46847"/>
    <w:rsid w:val="00C4790E"/>
    <w:rsid w:val="00C47DA7"/>
    <w:rsid w:val="00C50784"/>
    <w:rsid w:val="00C51017"/>
    <w:rsid w:val="00C51075"/>
    <w:rsid w:val="00C5133A"/>
    <w:rsid w:val="00C54CCA"/>
    <w:rsid w:val="00C5527A"/>
    <w:rsid w:val="00C5655B"/>
    <w:rsid w:val="00C572D6"/>
    <w:rsid w:val="00C576E4"/>
    <w:rsid w:val="00C57850"/>
    <w:rsid w:val="00C60352"/>
    <w:rsid w:val="00C609DB"/>
    <w:rsid w:val="00C625BD"/>
    <w:rsid w:val="00C626CD"/>
    <w:rsid w:val="00C647F5"/>
    <w:rsid w:val="00C67180"/>
    <w:rsid w:val="00C67195"/>
    <w:rsid w:val="00C6770D"/>
    <w:rsid w:val="00C70F8E"/>
    <w:rsid w:val="00C713A3"/>
    <w:rsid w:val="00C71AEE"/>
    <w:rsid w:val="00C7294D"/>
    <w:rsid w:val="00C81B06"/>
    <w:rsid w:val="00C8281E"/>
    <w:rsid w:val="00C91097"/>
    <w:rsid w:val="00C919B5"/>
    <w:rsid w:val="00C933DC"/>
    <w:rsid w:val="00C9347C"/>
    <w:rsid w:val="00C940AC"/>
    <w:rsid w:val="00CA0EAB"/>
    <w:rsid w:val="00CA1E2A"/>
    <w:rsid w:val="00CA3C51"/>
    <w:rsid w:val="00CA5A38"/>
    <w:rsid w:val="00CA6FA8"/>
    <w:rsid w:val="00CA7622"/>
    <w:rsid w:val="00CB3421"/>
    <w:rsid w:val="00CB3F7A"/>
    <w:rsid w:val="00CB4CEE"/>
    <w:rsid w:val="00CB69CF"/>
    <w:rsid w:val="00CB7124"/>
    <w:rsid w:val="00CC0D68"/>
    <w:rsid w:val="00CC2131"/>
    <w:rsid w:val="00CC3097"/>
    <w:rsid w:val="00CC3467"/>
    <w:rsid w:val="00CC39EF"/>
    <w:rsid w:val="00CC3F55"/>
    <w:rsid w:val="00CC4A62"/>
    <w:rsid w:val="00CC5D00"/>
    <w:rsid w:val="00CD0DB5"/>
    <w:rsid w:val="00CD1ED7"/>
    <w:rsid w:val="00CD48A6"/>
    <w:rsid w:val="00CD4F7B"/>
    <w:rsid w:val="00CE294B"/>
    <w:rsid w:val="00CE47BC"/>
    <w:rsid w:val="00CE55B8"/>
    <w:rsid w:val="00CE57E7"/>
    <w:rsid w:val="00CE6107"/>
    <w:rsid w:val="00CF1282"/>
    <w:rsid w:val="00CF30E3"/>
    <w:rsid w:val="00CF3D0E"/>
    <w:rsid w:val="00CF4643"/>
    <w:rsid w:val="00CF69A0"/>
    <w:rsid w:val="00CF7B27"/>
    <w:rsid w:val="00D00033"/>
    <w:rsid w:val="00D0188D"/>
    <w:rsid w:val="00D0664E"/>
    <w:rsid w:val="00D124A8"/>
    <w:rsid w:val="00D1388D"/>
    <w:rsid w:val="00D1437E"/>
    <w:rsid w:val="00D15F81"/>
    <w:rsid w:val="00D20EE6"/>
    <w:rsid w:val="00D21EDD"/>
    <w:rsid w:val="00D22C64"/>
    <w:rsid w:val="00D23E7D"/>
    <w:rsid w:val="00D24143"/>
    <w:rsid w:val="00D24F50"/>
    <w:rsid w:val="00D25DF9"/>
    <w:rsid w:val="00D26008"/>
    <w:rsid w:val="00D26A32"/>
    <w:rsid w:val="00D3037F"/>
    <w:rsid w:val="00D3166E"/>
    <w:rsid w:val="00D31F8A"/>
    <w:rsid w:val="00D32583"/>
    <w:rsid w:val="00D32D36"/>
    <w:rsid w:val="00D33EB9"/>
    <w:rsid w:val="00D35585"/>
    <w:rsid w:val="00D3624C"/>
    <w:rsid w:val="00D36770"/>
    <w:rsid w:val="00D36CE7"/>
    <w:rsid w:val="00D40F9E"/>
    <w:rsid w:val="00D41184"/>
    <w:rsid w:val="00D41506"/>
    <w:rsid w:val="00D41D5A"/>
    <w:rsid w:val="00D43718"/>
    <w:rsid w:val="00D43BFB"/>
    <w:rsid w:val="00D44853"/>
    <w:rsid w:val="00D453F2"/>
    <w:rsid w:val="00D457A5"/>
    <w:rsid w:val="00D45A3C"/>
    <w:rsid w:val="00D45D5D"/>
    <w:rsid w:val="00D50052"/>
    <w:rsid w:val="00D5039E"/>
    <w:rsid w:val="00D507F0"/>
    <w:rsid w:val="00D50E85"/>
    <w:rsid w:val="00D54382"/>
    <w:rsid w:val="00D54B93"/>
    <w:rsid w:val="00D56F69"/>
    <w:rsid w:val="00D6276B"/>
    <w:rsid w:val="00D62DDD"/>
    <w:rsid w:val="00D64C23"/>
    <w:rsid w:val="00D67062"/>
    <w:rsid w:val="00D67781"/>
    <w:rsid w:val="00D704FE"/>
    <w:rsid w:val="00D71376"/>
    <w:rsid w:val="00D73882"/>
    <w:rsid w:val="00D73DC8"/>
    <w:rsid w:val="00D74354"/>
    <w:rsid w:val="00D772C9"/>
    <w:rsid w:val="00D77D7D"/>
    <w:rsid w:val="00D836D2"/>
    <w:rsid w:val="00D86720"/>
    <w:rsid w:val="00D86D72"/>
    <w:rsid w:val="00D877F2"/>
    <w:rsid w:val="00D8782F"/>
    <w:rsid w:val="00D92913"/>
    <w:rsid w:val="00D93982"/>
    <w:rsid w:val="00D95FCC"/>
    <w:rsid w:val="00D96018"/>
    <w:rsid w:val="00DA23B3"/>
    <w:rsid w:val="00DA2548"/>
    <w:rsid w:val="00DA25C3"/>
    <w:rsid w:val="00DA2D60"/>
    <w:rsid w:val="00DA51B1"/>
    <w:rsid w:val="00DA55BE"/>
    <w:rsid w:val="00DA633A"/>
    <w:rsid w:val="00DA6A98"/>
    <w:rsid w:val="00DB0D72"/>
    <w:rsid w:val="00DB2371"/>
    <w:rsid w:val="00DB29A8"/>
    <w:rsid w:val="00DB2C5F"/>
    <w:rsid w:val="00DB4CC3"/>
    <w:rsid w:val="00DB77BC"/>
    <w:rsid w:val="00DC0DAE"/>
    <w:rsid w:val="00DC1906"/>
    <w:rsid w:val="00DC309A"/>
    <w:rsid w:val="00DC69A8"/>
    <w:rsid w:val="00DC6A39"/>
    <w:rsid w:val="00DD170C"/>
    <w:rsid w:val="00DD19BC"/>
    <w:rsid w:val="00DD2BA6"/>
    <w:rsid w:val="00DD3401"/>
    <w:rsid w:val="00DD5606"/>
    <w:rsid w:val="00DD57D8"/>
    <w:rsid w:val="00DD604C"/>
    <w:rsid w:val="00DD70C7"/>
    <w:rsid w:val="00DD7212"/>
    <w:rsid w:val="00DE1907"/>
    <w:rsid w:val="00DE392B"/>
    <w:rsid w:val="00DE5223"/>
    <w:rsid w:val="00DF17F8"/>
    <w:rsid w:val="00DF3991"/>
    <w:rsid w:val="00DF6B5E"/>
    <w:rsid w:val="00E00C8B"/>
    <w:rsid w:val="00E01578"/>
    <w:rsid w:val="00E01AC5"/>
    <w:rsid w:val="00E01EF2"/>
    <w:rsid w:val="00E02833"/>
    <w:rsid w:val="00E05E26"/>
    <w:rsid w:val="00E06706"/>
    <w:rsid w:val="00E07CCA"/>
    <w:rsid w:val="00E07E80"/>
    <w:rsid w:val="00E10BF8"/>
    <w:rsid w:val="00E13A54"/>
    <w:rsid w:val="00E14D25"/>
    <w:rsid w:val="00E15D80"/>
    <w:rsid w:val="00E15F52"/>
    <w:rsid w:val="00E175AA"/>
    <w:rsid w:val="00E206A0"/>
    <w:rsid w:val="00E21BA1"/>
    <w:rsid w:val="00E22D3C"/>
    <w:rsid w:val="00E24C6C"/>
    <w:rsid w:val="00E2656F"/>
    <w:rsid w:val="00E30107"/>
    <w:rsid w:val="00E31BAC"/>
    <w:rsid w:val="00E32119"/>
    <w:rsid w:val="00E3462E"/>
    <w:rsid w:val="00E36FA7"/>
    <w:rsid w:val="00E375FB"/>
    <w:rsid w:val="00E3771D"/>
    <w:rsid w:val="00E37DEF"/>
    <w:rsid w:val="00E4235C"/>
    <w:rsid w:val="00E43186"/>
    <w:rsid w:val="00E432D6"/>
    <w:rsid w:val="00E46012"/>
    <w:rsid w:val="00E46AE9"/>
    <w:rsid w:val="00E53368"/>
    <w:rsid w:val="00E53591"/>
    <w:rsid w:val="00E54527"/>
    <w:rsid w:val="00E567FC"/>
    <w:rsid w:val="00E56AEE"/>
    <w:rsid w:val="00E56CDB"/>
    <w:rsid w:val="00E5779C"/>
    <w:rsid w:val="00E60D14"/>
    <w:rsid w:val="00E613FC"/>
    <w:rsid w:val="00E6304E"/>
    <w:rsid w:val="00E635B9"/>
    <w:rsid w:val="00E63BA0"/>
    <w:rsid w:val="00E67C08"/>
    <w:rsid w:val="00E67CA1"/>
    <w:rsid w:val="00E7076A"/>
    <w:rsid w:val="00E712D2"/>
    <w:rsid w:val="00E76237"/>
    <w:rsid w:val="00E77918"/>
    <w:rsid w:val="00E806F6"/>
    <w:rsid w:val="00E81A51"/>
    <w:rsid w:val="00E825EA"/>
    <w:rsid w:val="00E8442B"/>
    <w:rsid w:val="00E845BC"/>
    <w:rsid w:val="00E86328"/>
    <w:rsid w:val="00E879FA"/>
    <w:rsid w:val="00E9053B"/>
    <w:rsid w:val="00E930B0"/>
    <w:rsid w:val="00E944C2"/>
    <w:rsid w:val="00E9602A"/>
    <w:rsid w:val="00EA3142"/>
    <w:rsid w:val="00EA362E"/>
    <w:rsid w:val="00EA4528"/>
    <w:rsid w:val="00EA750F"/>
    <w:rsid w:val="00EB12E2"/>
    <w:rsid w:val="00EB2E08"/>
    <w:rsid w:val="00EB39CA"/>
    <w:rsid w:val="00EB62F2"/>
    <w:rsid w:val="00EB6DB9"/>
    <w:rsid w:val="00EB7C94"/>
    <w:rsid w:val="00EC3028"/>
    <w:rsid w:val="00EC3D10"/>
    <w:rsid w:val="00EC442F"/>
    <w:rsid w:val="00EC7AF0"/>
    <w:rsid w:val="00EC7D57"/>
    <w:rsid w:val="00EC7FB8"/>
    <w:rsid w:val="00ED21EB"/>
    <w:rsid w:val="00ED22B8"/>
    <w:rsid w:val="00ED355A"/>
    <w:rsid w:val="00ED3CEF"/>
    <w:rsid w:val="00ED5A20"/>
    <w:rsid w:val="00ED5DE5"/>
    <w:rsid w:val="00ED6D13"/>
    <w:rsid w:val="00EE0790"/>
    <w:rsid w:val="00EE1D68"/>
    <w:rsid w:val="00EE3C7A"/>
    <w:rsid w:val="00EE47FC"/>
    <w:rsid w:val="00EE6EC6"/>
    <w:rsid w:val="00EE7D06"/>
    <w:rsid w:val="00EF0327"/>
    <w:rsid w:val="00EF03F3"/>
    <w:rsid w:val="00EF198C"/>
    <w:rsid w:val="00EF3F6D"/>
    <w:rsid w:val="00EF436B"/>
    <w:rsid w:val="00EF57B9"/>
    <w:rsid w:val="00EF7457"/>
    <w:rsid w:val="00F007C5"/>
    <w:rsid w:val="00F0548D"/>
    <w:rsid w:val="00F05BCA"/>
    <w:rsid w:val="00F130AE"/>
    <w:rsid w:val="00F13FE2"/>
    <w:rsid w:val="00F16D97"/>
    <w:rsid w:val="00F20636"/>
    <w:rsid w:val="00F20CB2"/>
    <w:rsid w:val="00F2113E"/>
    <w:rsid w:val="00F21E7B"/>
    <w:rsid w:val="00F21FE1"/>
    <w:rsid w:val="00F22253"/>
    <w:rsid w:val="00F23EC0"/>
    <w:rsid w:val="00F25F05"/>
    <w:rsid w:val="00F32888"/>
    <w:rsid w:val="00F42994"/>
    <w:rsid w:val="00F44A57"/>
    <w:rsid w:val="00F46939"/>
    <w:rsid w:val="00F508E0"/>
    <w:rsid w:val="00F622A2"/>
    <w:rsid w:val="00F62D12"/>
    <w:rsid w:val="00F63396"/>
    <w:rsid w:val="00F63F65"/>
    <w:rsid w:val="00F65669"/>
    <w:rsid w:val="00F65673"/>
    <w:rsid w:val="00F65F40"/>
    <w:rsid w:val="00F66AAB"/>
    <w:rsid w:val="00F67802"/>
    <w:rsid w:val="00F71059"/>
    <w:rsid w:val="00F71734"/>
    <w:rsid w:val="00F76535"/>
    <w:rsid w:val="00F81FCE"/>
    <w:rsid w:val="00F82DB8"/>
    <w:rsid w:val="00F83177"/>
    <w:rsid w:val="00F8472A"/>
    <w:rsid w:val="00F92B65"/>
    <w:rsid w:val="00F93950"/>
    <w:rsid w:val="00F94A71"/>
    <w:rsid w:val="00F96D8A"/>
    <w:rsid w:val="00FA0BE4"/>
    <w:rsid w:val="00FA2735"/>
    <w:rsid w:val="00FA4132"/>
    <w:rsid w:val="00FA486C"/>
    <w:rsid w:val="00FA6230"/>
    <w:rsid w:val="00FA704D"/>
    <w:rsid w:val="00FB21C2"/>
    <w:rsid w:val="00FB2E13"/>
    <w:rsid w:val="00FB4D2F"/>
    <w:rsid w:val="00FB5771"/>
    <w:rsid w:val="00FC008C"/>
    <w:rsid w:val="00FC0981"/>
    <w:rsid w:val="00FC29A8"/>
    <w:rsid w:val="00FC4232"/>
    <w:rsid w:val="00FC64C4"/>
    <w:rsid w:val="00FC7451"/>
    <w:rsid w:val="00FD0C9D"/>
    <w:rsid w:val="00FD4A6C"/>
    <w:rsid w:val="00FD4DC9"/>
    <w:rsid w:val="00FD64E8"/>
    <w:rsid w:val="00FD77BE"/>
    <w:rsid w:val="00FD7E38"/>
    <w:rsid w:val="00FE04C5"/>
    <w:rsid w:val="00FE176D"/>
    <w:rsid w:val="00FE22D5"/>
    <w:rsid w:val="00FE310E"/>
    <w:rsid w:val="00FE65E7"/>
    <w:rsid w:val="00FE7CD0"/>
    <w:rsid w:val="00FF0964"/>
    <w:rsid w:val="00FF0FBC"/>
    <w:rsid w:val="00FF23CA"/>
    <w:rsid w:val="00FF3DD0"/>
    <w:rsid w:val="00FF57D2"/>
    <w:rsid w:val="00FF5F51"/>
    <w:rsid w:val="00FF64B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ADD78E1"/>
  <w15:docId w15:val="{3CF5C14D-5F7D-4728-B944-EE468821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1C34D4"/>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735E0"/>
    <w:rPr>
      <w:sz w:val="20"/>
      <w:szCs w:val="20"/>
    </w:rPr>
  </w:style>
  <w:style w:type="character" w:customStyle="1" w:styleId="EndnoteTextChar">
    <w:name w:val="Endnote Text Char"/>
    <w:basedOn w:val="DefaultParagraphFont"/>
    <w:link w:val="EndnoteText"/>
    <w:uiPriority w:val="99"/>
    <w:semiHidden/>
    <w:rsid w:val="00B735E0"/>
    <w:rPr>
      <w:lang w:val="en-US" w:eastAsia="en-US"/>
    </w:rPr>
  </w:style>
  <w:style w:type="character" w:styleId="EndnoteReference">
    <w:name w:val="endnote reference"/>
    <w:basedOn w:val="DefaultParagraphFont"/>
    <w:uiPriority w:val="99"/>
    <w:semiHidden/>
    <w:unhideWhenUsed/>
    <w:rsid w:val="00B735E0"/>
    <w:rPr>
      <w:vertAlign w:val="superscript"/>
    </w:rPr>
  </w:style>
  <w:style w:type="paragraph" w:styleId="BalloonText">
    <w:name w:val="Balloon Text"/>
    <w:basedOn w:val="Normal"/>
    <w:link w:val="BalloonTextChar"/>
    <w:uiPriority w:val="99"/>
    <w:semiHidden/>
    <w:unhideWhenUsed/>
    <w:rsid w:val="009F5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EA"/>
    <w:rPr>
      <w:rFonts w:ascii="Tahoma" w:hAnsi="Tahoma" w:cs="Tahoma"/>
      <w:sz w:val="16"/>
      <w:szCs w:val="16"/>
      <w:lang w:val="en-US" w:eastAsia="en-US"/>
    </w:rPr>
  </w:style>
  <w:style w:type="character" w:styleId="CommentReference">
    <w:name w:val="annotation reference"/>
    <w:basedOn w:val="DefaultParagraphFont"/>
    <w:unhideWhenUsed/>
    <w:rsid w:val="009F56EA"/>
    <w:rPr>
      <w:sz w:val="16"/>
      <w:szCs w:val="16"/>
    </w:rPr>
  </w:style>
  <w:style w:type="paragraph" w:styleId="CommentText">
    <w:name w:val="annotation text"/>
    <w:basedOn w:val="Normal"/>
    <w:link w:val="CommentTextChar"/>
    <w:unhideWhenUsed/>
    <w:rsid w:val="009F56EA"/>
    <w:rPr>
      <w:sz w:val="20"/>
      <w:szCs w:val="20"/>
    </w:rPr>
  </w:style>
  <w:style w:type="character" w:customStyle="1" w:styleId="CommentTextChar">
    <w:name w:val="Comment Text Char"/>
    <w:basedOn w:val="DefaultParagraphFont"/>
    <w:link w:val="CommentText"/>
    <w:rsid w:val="009F56EA"/>
    <w:rPr>
      <w:lang w:val="en-US" w:eastAsia="en-US"/>
    </w:rPr>
  </w:style>
  <w:style w:type="paragraph" w:styleId="CommentSubject">
    <w:name w:val="annotation subject"/>
    <w:basedOn w:val="CommentText"/>
    <w:next w:val="CommentText"/>
    <w:link w:val="CommentSubjectChar"/>
    <w:uiPriority w:val="99"/>
    <w:semiHidden/>
    <w:unhideWhenUsed/>
    <w:rsid w:val="009F56EA"/>
    <w:rPr>
      <w:b/>
      <w:bCs/>
    </w:rPr>
  </w:style>
  <w:style w:type="character" w:customStyle="1" w:styleId="CommentSubjectChar">
    <w:name w:val="Comment Subject Char"/>
    <w:basedOn w:val="CommentTextChar"/>
    <w:link w:val="CommentSubject"/>
    <w:uiPriority w:val="99"/>
    <w:semiHidden/>
    <w:rsid w:val="009F56EA"/>
    <w:rPr>
      <w:b/>
      <w:bCs/>
      <w:lang w:val="en-US" w:eastAsia="en-US"/>
    </w:rPr>
  </w:style>
  <w:style w:type="paragraph" w:styleId="Revision">
    <w:name w:val="Revision"/>
    <w:hidden/>
    <w:uiPriority w:val="99"/>
    <w:semiHidden/>
    <w:rsid w:val="000840F9"/>
    <w:rPr>
      <w:sz w:val="22"/>
      <w:szCs w:val="22"/>
      <w:lang w:val="en-US" w:eastAsia="en-US"/>
    </w:rPr>
  </w:style>
  <w:style w:type="paragraph" w:styleId="BodyText">
    <w:name w:val="Body Text"/>
    <w:basedOn w:val="Normal"/>
    <w:link w:val="BodyTextChar"/>
    <w:rsid w:val="00F65669"/>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F65669"/>
    <w:rPr>
      <w:rFonts w:ascii="VNI-Times" w:eastAsia="Times New Roman" w:hAnsi="VNI-Times"/>
      <w:lang w:eastAsia="en-US"/>
    </w:rPr>
  </w:style>
  <w:style w:type="paragraph" w:styleId="BodyTextIndent">
    <w:name w:val="Body Text Indent"/>
    <w:basedOn w:val="Normal"/>
    <w:link w:val="BodyTextIndentChar"/>
    <w:uiPriority w:val="99"/>
    <w:semiHidden/>
    <w:unhideWhenUsed/>
    <w:rsid w:val="001C34D4"/>
    <w:pPr>
      <w:spacing w:after="120"/>
      <w:ind w:left="360"/>
    </w:pPr>
  </w:style>
  <w:style w:type="character" w:customStyle="1" w:styleId="BodyTextIndentChar">
    <w:name w:val="Body Text Indent Char"/>
    <w:basedOn w:val="DefaultParagraphFont"/>
    <w:link w:val="BodyTextIndent"/>
    <w:uiPriority w:val="99"/>
    <w:semiHidden/>
    <w:rsid w:val="001C34D4"/>
    <w:rPr>
      <w:sz w:val="22"/>
      <w:szCs w:val="22"/>
      <w:lang w:val="en-US" w:eastAsia="en-US"/>
    </w:rPr>
  </w:style>
  <w:style w:type="character" w:customStyle="1" w:styleId="Heading1Char">
    <w:name w:val="Heading 1 Char"/>
    <w:basedOn w:val="DefaultParagraphFont"/>
    <w:link w:val="Heading1"/>
    <w:rsid w:val="001C34D4"/>
    <w:rPr>
      <w:rFonts w:ascii="VNI-Times" w:eastAsia="Times New Roman" w:hAnsi="VNI-Times"/>
      <w:b/>
      <w:lang w:eastAsia="en-US"/>
    </w:rPr>
  </w:style>
  <w:style w:type="paragraph" w:customStyle="1" w:styleId="Level0">
    <w:name w:val="Level 0"/>
    <w:basedOn w:val="Normal"/>
    <w:rsid w:val="00C46847"/>
    <w:pPr>
      <w:tabs>
        <w:tab w:val="left" w:pos="576"/>
        <w:tab w:val="left" w:pos="1152"/>
        <w:tab w:val="left" w:pos="1728"/>
        <w:tab w:val="left" w:pos="2304"/>
      </w:tabs>
      <w:spacing w:before="120" w:after="0" w:line="240" w:lineRule="atLeast"/>
      <w:ind w:left="576" w:hanging="576"/>
    </w:pPr>
    <w:rPr>
      <w:rFonts w:ascii="Times New Roman" w:eastAsia="PMingLiU" w:hAnsi="Times New Roman"/>
      <w:sz w:val="18"/>
      <w:szCs w:val="20"/>
      <w:lang w:val="en-GB"/>
    </w:rPr>
  </w:style>
  <w:style w:type="paragraph" w:styleId="NormalWeb">
    <w:name w:val="Normal (Web)"/>
    <w:basedOn w:val="Normal"/>
    <w:uiPriority w:val="99"/>
    <w:unhideWhenUsed/>
    <w:rsid w:val="00DC6A39"/>
    <w:pPr>
      <w:spacing w:before="100" w:beforeAutospacing="1" w:after="100" w:afterAutospacing="1" w:line="240" w:lineRule="auto"/>
    </w:pPr>
    <w:rPr>
      <w:rFonts w:eastAsia="Times New Roman"/>
      <w:sz w:val="24"/>
      <w:szCs w:val="24"/>
      <w:lang w:val="en-GB"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776">
      <w:bodyDiv w:val="1"/>
      <w:marLeft w:val="0"/>
      <w:marRight w:val="0"/>
      <w:marTop w:val="0"/>
      <w:marBottom w:val="0"/>
      <w:divBdr>
        <w:top w:val="none" w:sz="0" w:space="0" w:color="auto"/>
        <w:left w:val="none" w:sz="0" w:space="0" w:color="auto"/>
        <w:bottom w:val="none" w:sz="0" w:space="0" w:color="auto"/>
        <w:right w:val="none" w:sz="0" w:space="0" w:color="auto"/>
      </w:divBdr>
    </w:div>
    <w:div w:id="7024953">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27415745">
      <w:bodyDiv w:val="1"/>
      <w:marLeft w:val="0"/>
      <w:marRight w:val="0"/>
      <w:marTop w:val="0"/>
      <w:marBottom w:val="0"/>
      <w:divBdr>
        <w:top w:val="none" w:sz="0" w:space="0" w:color="auto"/>
        <w:left w:val="none" w:sz="0" w:space="0" w:color="auto"/>
        <w:bottom w:val="none" w:sz="0" w:space="0" w:color="auto"/>
        <w:right w:val="none" w:sz="0" w:space="0" w:color="auto"/>
      </w:divBdr>
    </w:div>
    <w:div w:id="35550080">
      <w:bodyDiv w:val="1"/>
      <w:marLeft w:val="0"/>
      <w:marRight w:val="0"/>
      <w:marTop w:val="0"/>
      <w:marBottom w:val="0"/>
      <w:divBdr>
        <w:top w:val="none" w:sz="0" w:space="0" w:color="auto"/>
        <w:left w:val="none" w:sz="0" w:space="0" w:color="auto"/>
        <w:bottom w:val="none" w:sz="0" w:space="0" w:color="auto"/>
        <w:right w:val="none" w:sz="0" w:space="0" w:color="auto"/>
      </w:divBdr>
    </w:div>
    <w:div w:id="47385411">
      <w:bodyDiv w:val="1"/>
      <w:marLeft w:val="0"/>
      <w:marRight w:val="0"/>
      <w:marTop w:val="0"/>
      <w:marBottom w:val="0"/>
      <w:divBdr>
        <w:top w:val="none" w:sz="0" w:space="0" w:color="auto"/>
        <w:left w:val="none" w:sz="0" w:space="0" w:color="auto"/>
        <w:bottom w:val="none" w:sz="0" w:space="0" w:color="auto"/>
        <w:right w:val="none" w:sz="0" w:space="0" w:color="auto"/>
      </w:divBdr>
    </w:div>
    <w:div w:id="49159471">
      <w:bodyDiv w:val="1"/>
      <w:marLeft w:val="0"/>
      <w:marRight w:val="0"/>
      <w:marTop w:val="0"/>
      <w:marBottom w:val="0"/>
      <w:divBdr>
        <w:top w:val="none" w:sz="0" w:space="0" w:color="auto"/>
        <w:left w:val="none" w:sz="0" w:space="0" w:color="auto"/>
        <w:bottom w:val="none" w:sz="0" w:space="0" w:color="auto"/>
        <w:right w:val="none" w:sz="0" w:space="0" w:color="auto"/>
      </w:divBdr>
    </w:div>
    <w:div w:id="73936464">
      <w:bodyDiv w:val="1"/>
      <w:marLeft w:val="0"/>
      <w:marRight w:val="0"/>
      <w:marTop w:val="0"/>
      <w:marBottom w:val="0"/>
      <w:divBdr>
        <w:top w:val="none" w:sz="0" w:space="0" w:color="auto"/>
        <w:left w:val="none" w:sz="0" w:space="0" w:color="auto"/>
        <w:bottom w:val="none" w:sz="0" w:space="0" w:color="auto"/>
        <w:right w:val="none" w:sz="0" w:space="0" w:color="auto"/>
      </w:divBdr>
    </w:div>
    <w:div w:id="81420202">
      <w:bodyDiv w:val="1"/>
      <w:marLeft w:val="0"/>
      <w:marRight w:val="0"/>
      <w:marTop w:val="0"/>
      <w:marBottom w:val="0"/>
      <w:divBdr>
        <w:top w:val="none" w:sz="0" w:space="0" w:color="auto"/>
        <w:left w:val="none" w:sz="0" w:space="0" w:color="auto"/>
        <w:bottom w:val="none" w:sz="0" w:space="0" w:color="auto"/>
        <w:right w:val="none" w:sz="0" w:space="0" w:color="auto"/>
      </w:divBdr>
    </w:div>
    <w:div w:id="88015961">
      <w:bodyDiv w:val="1"/>
      <w:marLeft w:val="0"/>
      <w:marRight w:val="0"/>
      <w:marTop w:val="0"/>
      <w:marBottom w:val="0"/>
      <w:divBdr>
        <w:top w:val="none" w:sz="0" w:space="0" w:color="auto"/>
        <w:left w:val="none" w:sz="0" w:space="0" w:color="auto"/>
        <w:bottom w:val="none" w:sz="0" w:space="0" w:color="auto"/>
        <w:right w:val="none" w:sz="0" w:space="0" w:color="auto"/>
      </w:divBdr>
    </w:div>
    <w:div w:id="106312392">
      <w:bodyDiv w:val="1"/>
      <w:marLeft w:val="0"/>
      <w:marRight w:val="0"/>
      <w:marTop w:val="0"/>
      <w:marBottom w:val="0"/>
      <w:divBdr>
        <w:top w:val="none" w:sz="0" w:space="0" w:color="auto"/>
        <w:left w:val="none" w:sz="0" w:space="0" w:color="auto"/>
        <w:bottom w:val="none" w:sz="0" w:space="0" w:color="auto"/>
        <w:right w:val="none" w:sz="0" w:space="0" w:color="auto"/>
      </w:divBdr>
    </w:div>
    <w:div w:id="111094774">
      <w:bodyDiv w:val="1"/>
      <w:marLeft w:val="0"/>
      <w:marRight w:val="0"/>
      <w:marTop w:val="0"/>
      <w:marBottom w:val="0"/>
      <w:divBdr>
        <w:top w:val="none" w:sz="0" w:space="0" w:color="auto"/>
        <w:left w:val="none" w:sz="0" w:space="0" w:color="auto"/>
        <w:bottom w:val="none" w:sz="0" w:space="0" w:color="auto"/>
        <w:right w:val="none" w:sz="0" w:space="0" w:color="auto"/>
      </w:divBdr>
    </w:div>
    <w:div w:id="117994976">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70803806">
      <w:bodyDiv w:val="1"/>
      <w:marLeft w:val="0"/>
      <w:marRight w:val="0"/>
      <w:marTop w:val="0"/>
      <w:marBottom w:val="0"/>
      <w:divBdr>
        <w:top w:val="none" w:sz="0" w:space="0" w:color="auto"/>
        <w:left w:val="none" w:sz="0" w:space="0" w:color="auto"/>
        <w:bottom w:val="none" w:sz="0" w:space="0" w:color="auto"/>
        <w:right w:val="none" w:sz="0" w:space="0" w:color="auto"/>
      </w:divBdr>
    </w:div>
    <w:div w:id="181165839">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84946662">
      <w:bodyDiv w:val="1"/>
      <w:marLeft w:val="0"/>
      <w:marRight w:val="0"/>
      <w:marTop w:val="0"/>
      <w:marBottom w:val="0"/>
      <w:divBdr>
        <w:top w:val="none" w:sz="0" w:space="0" w:color="auto"/>
        <w:left w:val="none" w:sz="0" w:space="0" w:color="auto"/>
        <w:bottom w:val="none" w:sz="0" w:space="0" w:color="auto"/>
        <w:right w:val="none" w:sz="0" w:space="0" w:color="auto"/>
      </w:divBdr>
    </w:div>
    <w:div w:id="190917089">
      <w:bodyDiv w:val="1"/>
      <w:marLeft w:val="0"/>
      <w:marRight w:val="0"/>
      <w:marTop w:val="0"/>
      <w:marBottom w:val="0"/>
      <w:divBdr>
        <w:top w:val="none" w:sz="0" w:space="0" w:color="auto"/>
        <w:left w:val="none" w:sz="0" w:space="0" w:color="auto"/>
        <w:bottom w:val="none" w:sz="0" w:space="0" w:color="auto"/>
        <w:right w:val="none" w:sz="0" w:space="0" w:color="auto"/>
      </w:divBdr>
    </w:div>
    <w:div w:id="192111367">
      <w:bodyDiv w:val="1"/>
      <w:marLeft w:val="0"/>
      <w:marRight w:val="0"/>
      <w:marTop w:val="0"/>
      <w:marBottom w:val="0"/>
      <w:divBdr>
        <w:top w:val="none" w:sz="0" w:space="0" w:color="auto"/>
        <w:left w:val="none" w:sz="0" w:space="0" w:color="auto"/>
        <w:bottom w:val="none" w:sz="0" w:space="0" w:color="auto"/>
        <w:right w:val="none" w:sz="0" w:space="0" w:color="auto"/>
      </w:divBdr>
    </w:div>
    <w:div w:id="20036016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2540151">
      <w:bodyDiv w:val="1"/>
      <w:marLeft w:val="0"/>
      <w:marRight w:val="0"/>
      <w:marTop w:val="0"/>
      <w:marBottom w:val="0"/>
      <w:divBdr>
        <w:top w:val="none" w:sz="0" w:space="0" w:color="auto"/>
        <w:left w:val="none" w:sz="0" w:space="0" w:color="auto"/>
        <w:bottom w:val="none" w:sz="0" w:space="0" w:color="auto"/>
        <w:right w:val="none" w:sz="0" w:space="0" w:color="auto"/>
      </w:divBdr>
    </w:div>
    <w:div w:id="262880237">
      <w:bodyDiv w:val="1"/>
      <w:marLeft w:val="0"/>
      <w:marRight w:val="0"/>
      <w:marTop w:val="0"/>
      <w:marBottom w:val="0"/>
      <w:divBdr>
        <w:top w:val="none" w:sz="0" w:space="0" w:color="auto"/>
        <w:left w:val="none" w:sz="0" w:space="0" w:color="auto"/>
        <w:bottom w:val="none" w:sz="0" w:space="0" w:color="auto"/>
        <w:right w:val="none" w:sz="0" w:space="0" w:color="auto"/>
      </w:divBdr>
    </w:div>
    <w:div w:id="265583270">
      <w:bodyDiv w:val="1"/>
      <w:marLeft w:val="0"/>
      <w:marRight w:val="0"/>
      <w:marTop w:val="0"/>
      <w:marBottom w:val="0"/>
      <w:divBdr>
        <w:top w:val="none" w:sz="0" w:space="0" w:color="auto"/>
        <w:left w:val="none" w:sz="0" w:space="0" w:color="auto"/>
        <w:bottom w:val="none" w:sz="0" w:space="0" w:color="auto"/>
        <w:right w:val="none" w:sz="0" w:space="0" w:color="auto"/>
      </w:divBdr>
    </w:div>
    <w:div w:id="272173119">
      <w:bodyDiv w:val="1"/>
      <w:marLeft w:val="0"/>
      <w:marRight w:val="0"/>
      <w:marTop w:val="0"/>
      <w:marBottom w:val="0"/>
      <w:divBdr>
        <w:top w:val="none" w:sz="0" w:space="0" w:color="auto"/>
        <w:left w:val="none" w:sz="0" w:space="0" w:color="auto"/>
        <w:bottom w:val="none" w:sz="0" w:space="0" w:color="auto"/>
        <w:right w:val="none" w:sz="0" w:space="0" w:color="auto"/>
      </w:divBdr>
    </w:div>
    <w:div w:id="272399391">
      <w:bodyDiv w:val="1"/>
      <w:marLeft w:val="0"/>
      <w:marRight w:val="0"/>
      <w:marTop w:val="0"/>
      <w:marBottom w:val="0"/>
      <w:divBdr>
        <w:top w:val="none" w:sz="0" w:space="0" w:color="auto"/>
        <w:left w:val="none" w:sz="0" w:space="0" w:color="auto"/>
        <w:bottom w:val="none" w:sz="0" w:space="0" w:color="auto"/>
        <w:right w:val="none" w:sz="0" w:space="0" w:color="auto"/>
      </w:divBdr>
    </w:div>
    <w:div w:id="280771131">
      <w:bodyDiv w:val="1"/>
      <w:marLeft w:val="0"/>
      <w:marRight w:val="0"/>
      <w:marTop w:val="0"/>
      <w:marBottom w:val="0"/>
      <w:divBdr>
        <w:top w:val="none" w:sz="0" w:space="0" w:color="auto"/>
        <w:left w:val="none" w:sz="0" w:space="0" w:color="auto"/>
        <w:bottom w:val="none" w:sz="0" w:space="0" w:color="auto"/>
        <w:right w:val="none" w:sz="0" w:space="0" w:color="auto"/>
      </w:divBdr>
    </w:div>
    <w:div w:id="284387561">
      <w:bodyDiv w:val="1"/>
      <w:marLeft w:val="0"/>
      <w:marRight w:val="0"/>
      <w:marTop w:val="0"/>
      <w:marBottom w:val="0"/>
      <w:divBdr>
        <w:top w:val="none" w:sz="0" w:space="0" w:color="auto"/>
        <w:left w:val="none" w:sz="0" w:space="0" w:color="auto"/>
        <w:bottom w:val="none" w:sz="0" w:space="0" w:color="auto"/>
        <w:right w:val="none" w:sz="0" w:space="0" w:color="auto"/>
      </w:divBdr>
    </w:div>
    <w:div w:id="284581589">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9673230">
      <w:bodyDiv w:val="1"/>
      <w:marLeft w:val="0"/>
      <w:marRight w:val="0"/>
      <w:marTop w:val="0"/>
      <w:marBottom w:val="0"/>
      <w:divBdr>
        <w:top w:val="none" w:sz="0" w:space="0" w:color="auto"/>
        <w:left w:val="none" w:sz="0" w:space="0" w:color="auto"/>
        <w:bottom w:val="none" w:sz="0" w:space="0" w:color="auto"/>
        <w:right w:val="none" w:sz="0" w:space="0" w:color="auto"/>
      </w:divBdr>
    </w:div>
    <w:div w:id="316149576">
      <w:bodyDiv w:val="1"/>
      <w:marLeft w:val="0"/>
      <w:marRight w:val="0"/>
      <w:marTop w:val="0"/>
      <w:marBottom w:val="0"/>
      <w:divBdr>
        <w:top w:val="none" w:sz="0" w:space="0" w:color="auto"/>
        <w:left w:val="none" w:sz="0" w:space="0" w:color="auto"/>
        <w:bottom w:val="none" w:sz="0" w:space="0" w:color="auto"/>
        <w:right w:val="none" w:sz="0" w:space="0" w:color="auto"/>
      </w:divBdr>
    </w:div>
    <w:div w:id="330373613">
      <w:bodyDiv w:val="1"/>
      <w:marLeft w:val="0"/>
      <w:marRight w:val="0"/>
      <w:marTop w:val="0"/>
      <w:marBottom w:val="0"/>
      <w:divBdr>
        <w:top w:val="none" w:sz="0" w:space="0" w:color="auto"/>
        <w:left w:val="none" w:sz="0" w:space="0" w:color="auto"/>
        <w:bottom w:val="none" w:sz="0" w:space="0" w:color="auto"/>
        <w:right w:val="none" w:sz="0" w:space="0" w:color="auto"/>
      </w:divBdr>
    </w:div>
    <w:div w:id="333146991">
      <w:bodyDiv w:val="1"/>
      <w:marLeft w:val="0"/>
      <w:marRight w:val="0"/>
      <w:marTop w:val="0"/>
      <w:marBottom w:val="0"/>
      <w:divBdr>
        <w:top w:val="none" w:sz="0" w:space="0" w:color="auto"/>
        <w:left w:val="none" w:sz="0" w:space="0" w:color="auto"/>
        <w:bottom w:val="none" w:sz="0" w:space="0" w:color="auto"/>
        <w:right w:val="none" w:sz="0" w:space="0" w:color="auto"/>
      </w:divBdr>
    </w:div>
    <w:div w:id="333994231">
      <w:bodyDiv w:val="1"/>
      <w:marLeft w:val="0"/>
      <w:marRight w:val="0"/>
      <w:marTop w:val="0"/>
      <w:marBottom w:val="0"/>
      <w:divBdr>
        <w:top w:val="none" w:sz="0" w:space="0" w:color="auto"/>
        <w:left w:val="none" w:sz="0" w:space="0" w:color="auto"/>
        <w:bottom w:val="none" w:sz="0" w:space="0" w:color="auto"/>
        <w:right w:val="none" w:sz="0" w:space="0" w:color="auto"/>
      </w:divBdr>
    </w:div>
    <w:div w:id="341978841">
      <w:bodyDiv w:val="1"/>
      <w:marLeft w:val="0"/>
      <w:marRight w:val="0"/>
      <w:marTop w:val="0"/>
      <w:marBottom w:val="0"/>
      <w:divBdr>
        <w:top w:val="none" w:sz="0" w:space="0" w:color="auto"/>
        <w:left w:val="none" w:sz="0" w:space="0" w:color="auto"/>
        <w:bottom w:val="none" w:sz="0" w:space="0" w:color="auto"/>
        <w:right w:val="none" w:sz="0" w:space="0" w:color="auto"/>
      </w:divBdr>
    </w:div>
    <w:div w:id="348652015">
      <w:bodyDiv w:val="1"/>
      <w:marLeft w:val="0"/>
      <w:marRight w:val="0"/>
      <w:marTop w:val="0"/>
      <w:marBottom w:val="0"/>
      <w:divBdr>
        <w:top w:val="none" w:sz="0" w:space="0" w:color="auto"/>
        <w:left w:val="none" w:sz="0" w:space="0" w:color="auto"/>
        <w:bottom w:val="none" w:sz="0" w:space="0" w:color="auto"/>
        <w:right w:val="none" w:sz="0" w:space="0" w:color="auto"/>
      </w:divBdr>
    </w:div>
    <w:div w:id="371925467">
      <w:bodyDiv w:val="1"/>
      <w:marLeft w:val="0"/>
      <w:marRight w:val="0"/>
      <w:marTop w:val="0"/>
      <w:marBottom w:val="0"/>
      <w:divBdr>
        <w:top w:val="none" w:sz="0" w:space="0" w:color="auto"/>
        <w:left w:val="none" w:sz="0" w:space="0" w:color="auto"/>
        <w:bottom w:val="none" w:sz="0" w:space="0" w:color="auto"/>
        <w:right w:val="none" w:sz="0" w:space="0" w:color="auto"/>
      </w:divBdr>
    </w:div>
    <w:div w:id="374282487">
      <w:bodyDiv w:val="1"/>
      <w:marLeft w:val="0"/>
      <w:marRight w:val="0"/>
      <w:marTop w:val="0"/>
      <w:marBottom w:val="0"/>
      <w:divBdr>
        <w:top w:val="none" w:sz="0" w:space="0" w:color="auto"/>
        <w:left w:val="none" w:sz="0" w:space="0" w:color="auto"/>
        <w:bottom w:val="none" w:sz="0" w:space="0" w:color="auto"/>
        <w:right w:val="none" w:sz="0" w:space="0" w:color="auto"/>
      </w:divBdr>
    </w:div>
    <w:div w:id="383332953">
      <w:bodyDiv w:val="1"/>
      <w:marLeft w:val="0"/>
      <w:marRight w:val="0"/>
      <w:marTop w:val="0"/>
      <w:marBottom w:val="0"/>
      <w:divBdr>
        <w:top w:val="none" w:sz="0" w:space="0" w:color="auto"/>
        <w:left w:val="none" w:sz="0" w:space="0" w:color="auto"/>
        <w:bottom w:val="none" w:sz="0" w:space="0" w:color="auto"/>
        <w:right w:val="none" w:sz="0" w:space="0" w:color="auto"/>
      </w:divBdr>
    </w:div>
    <w:div w:id="398525941">
      <w:bodyDiv w:val="1"/>
      <w:marLeft w:val="0"/>
      <w:marRight w:val="0"/>
      <w:marTop w:val="0"/>
      <w:marBottom w:val="0"/>
      <w:divBdr>
        <w:top w:val="none" w:sz="0" w:space="0" w:color="auto"/>
        <w:left w:val="none" w:sz="0" w:space="0" w:color="auto"/>
        <w:bottom w:val="none" w:sz="0" w:space="0" w:color="auto"/>
        <w:right w:val="none" w:sz="0" w:space="0" w:color="auto"/>
      </w:divBdr>
    </w:div>
    <w:div w:id="405879821">
      <w:bodyDiv w:val="1"/>
      <w:marLeft w:val="0"/>
      <w:marRight w:val="0"/>
      <w:marTop w:val="0"/>
      <w:marBottom w:val="0"/>
      <w:divBdr>
        <w:top w:val="none" w:sz="0" w:space="0" w:color="auto"/>
        <w:left w:val="none" w:sz="0" w:space="0" w:color="auto"/>
        <w:bottom w:val="none" w:sz="0" w:space="0" w:color="auto"/>
        <w:right w:val="none" w:sz="0" w:space="0" w:color="auto"/>
      </w:divBdr>
    </w:div>
    <w:div w:id="449325918">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9226996">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501169293">
      <w:bodyDiv w:val="1"/>
      <w:marLeft w:val="0"/>
      <w:marRight w:val="0"/>
      <w:marTop w:val="0"/>
      <w:marBottom w:val="0"/>
      <w:divBdr>
        <w:top w:val="none" w:sz="0" w:space="0" w:color="auto"/>
        <w:left w:val="none" w:sz="0" w:space="0" w:color="auto"/>
        <w:bottom w:val="none" w:sz="0" w:space="0" w:color="auto"/>
        <w:right w:val="none" w:sz="0" w:space="0" w:color="auto"/>
      </w:divBdr>
    </w:div>
    <w:div w:id="527839117">
      <w:bodyDiv w:val="1"/>
      <w:marLeft w:val="0"/>
      <w:marRight w:val="0"/>
      <w:marTop w:val="0"/>
      <w:marBottom w:val="0"/>
      <w:divBdr>
        <w:top w:val="none" w:sz="0" w:space="0" w:color="auto"/>
        <w:left w:val="none" w:sz="0" w:space="0" w:color="auto"/>
        <w:bottom w:val="none" w:sz="0" w:space="0" w:color="auto"/>
        <w:right w:val="none" w:sz="0" w:space="0" w:color="auto"/>
      </w:divBdr>
    </w:div>
    <w:div w:id="532766796">
      <w:bodyDiv w:val="1"/>
      <w:marLeft w:val="0"/>
      <w:marRight w:val="0"/>
      <w:marTop w:val="0"/>
      <w:marBottom w:val="0"/>
      <w:divBdr>
        <w:top w:val="none" w:sz="0" w:space="0" w:color="auto"/>
        <w:left w:val="none" w:sz="0" w:space="0" w:color="auto"/>
        <w:bottom w:val="none" w:sz="0" w:space="0" w:color="auto"/>
        <w:right w:val="none" w:sz="0" w:space="0" w:color="auto"/>
      </w:divBdr>
    </w:div>
    <w:div w:id="550002530">
      <w:bodyDiv w:val="1"/>
      <w:marLeft w:val="0"/>
      <w:marRight w:val="0"/>
      <w:marTop w:val="0"/>
      <w:marBottom w:val="0"/>
      <w:divBdr>
        <w:top w:val="none" w:sz="0" w:space="0" w:color="auto"/>
        <w:left w:val="none" w:sz="0" w:space="0" w:color="auto"/>
        <w:bottom w:val="none" w:sz="0" w:space="0" w:color="auto"/>
        <w:right w:val="none" w:sz="0" w:space="0" w:color="auto"/>
      </w:divBdr>
    </w:div>
    <w:div w:id="577523290">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589239614">
      <w:bodyDiv w:val="1"/>
      <w:marLeft w:val="0"/>
      <w:marRight w:val="0"/>
      <w:marTop w:val="0"/>
      <w:marBottom w:val="0"/>
      <w:divBdr>
        <w:top w:val="none" w:sz="0" w:space="0" w:color="auto"/>
        <w:left w:val="none" w:sz="0" w:space="0" w:color="auto"/>
        <w:bottom w:val="none" w:sz="0" w:space="0" w:color="auto"/>
        <w:right w:val="none" w:sz="0" w:space="0" w:color="auto"/>
      </w:divBdr>
    </w:div>
    <w:div w:id="606037832">
      <w:bodyDiv w:val="1"/>
      <w:marLeft w:val="0"/>
      <w:marRight w:val="0"/>
      <w:marTop w:val="0"/>
      <w:marBottom w:val="0"/>
      <w:divBdr>
        <w:top w:val="none" w:sz="0" w:space="0" w:color="auto"/>
        <w:left w:val="none" w:sz="0" w:space="0" w:color="auto"/>
        <w:bottom w:val="none" w:sz="0" w:space="0" w:color="auto"/>
        <w:right w:val="none" w:sz="0" w:space="0" w:color="auto"/>
      </w:divBdr>
    </w:div>
    <w:div w:id="612443265">
      <w:bodyDiv w:val="1"/>
      <w:marLeft w:val="0"/>
      <w:marRight w:val="0"/>
      <w:marTop w:val="0"/>
      <w:marBottom w:val="0"/>
      <w:divBdr>
        <w:top w:val="none" w:sz="0" w:space="0" w:color="auto"/>
        <w:left w:val="none" w:sz="0" w:space="0" w:color="auto"/>
        <w:bottom w:val="none" w:sz="0" w:space="0" w:color="auto"/>
        <w:right w:val="none" w:sz="0" w:space="0" w:color="auto"/>
      </w:divBdr>
    </w:div>
    <w:div w:id="614099386">
      <w:bodyDiv w:val="1"/>
      <w:marLeft w:val="0"/>
      <w:marRight w:val="0"/>
      <w:marTop w:val="0"/>
      <w:marBottom w:val="0"/>
      <w:divBdr>
        <w:top w:val="none" w:sz="0" w:space="0" w:color="auto"/>
        <w:left w:val="none" w:sz="0" w:space="0" w:color="auto"/>
        <w:bottom w:val="none" w:sz="0" w:space="0" w:color="auto"/>
        <w:right w:val="none" w:sz="0" w:space="0" w:color="auto"/>
      </w:divBdr>
    </w:div>
    <w:div w:id="621880931">
      <w:bodyDiv w:val="1"/>
      <w:marLeft w:val="0"/>
      <w:marRight w:val="0"/>
      <w:marTop w:val="0"/>
      <w:marBottom w:val="0"/>
      <w:divBdr>
        <w:top w:val="none" w:sz="0" w:space="0" w:color="auto"/>
        <w:left w:val="none" w:sz="0" w:space="0" w:color="auto"/>
        <w:bottom w:val="none" w:sz="0" w:space="0" w:color="auto"/>
        <w:right w:val="none" w:sz="0" w:space="0" w:color="auto"/>
      </w:divBdr>
    </w:div>
    <w:div w:id="625888946">
      <w:bodyDiv w:val="1"/>
      <w:marLeft w:val="0"/>
      <w:marRight w:val="0"/>
      <w:marTop w:val="0"/>
      <w:marBottom w:val="0"/>
      <w:divBdr>
        <w:top w:val="none" w:sz="0" w:space="0" w:color="auto"/>
        <w:left w:val="none" w:sz="0" w:space="0" w:color="auto"/>
        <w:bottom w:val="none" w:sz="0" w:space="0" w:color="auto"/>
        <w:right w:val="none" w:sz="0" w:space="0" w:color="auto"/>
      </w:divBdr>
    </w:div>
    <w:div w:id="627204097">
      <w:bodyDiv w:val="1"/>
      <w:marLeft w:val="0"/>
      <w:marRight w:val="0"/>
      <w:marTop w:val="0"/>
      <w:marBottom w:val="0"/>
      <w:divBdr>
        <w:top w:val="none" w:sz="0" w:space="0" w:color="auto"/>
        <w:left w:val="none" w:sz="0" w:space="0" w:color="auto"/>
        <w:bottom w:val="none" w:sz="0" w:space="0" w:color="auto"/>
        <w:right w:val="none" w:sz="0" w:space="0" w:color="auto"/>
      </w:divBdr>
    </w:div>
    <w:div w:id="643464420">
      <w:bodyDiv w:val="1"/>
      <w:marLeft w:val="0"/>
      <w:marRight w:val="0"/>
      <w:marTop w:val="0"/>
      <w:marBottom w:val="0"/>
      <w:divBdr>
        <w:top w:val="none" w:sz="0" w:space="0" w:color="auto"/>
        <w:left w:val="none" w:sz="0" w:space="0" w:color="auto"/>
        <w:bottom w:val="none" w:sz="0" w:space="0" w:color="auto"/>
        <w:right w:val="none" w:sz="0" w:space="0" w:color="auto"/>
      </w:divBdr>
    </w:div>
    <w:div w:id="652835553">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76075455">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86253656">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01856398">
      <w:bodyDiv w:val="1"/>
      <w:marLeft w:val="0"/>
      <w:marRight w:val="0"/>
      <w:marTop w:val="0"/>
      <w:marBottom w:val="0"/>
      <w:divBdr>
        <w:top w:val="none" w:sz="0" w:space="0" w:color="auto"/>
        <w:left w:val="none" w:sz="0" w:space="0" w:color="auto"/>
        <w:bottom w:val="none" w:sz="0" w:space="0" w:color="auto"/>
        <w:right w:val="none" w:sz="0" w:space="0" w:color="auto"/>
      </w:divBdr>
    </w:div>
    <w:div w:id="709375116">
      <w:bodyDiv w:val="1"/>
      <w:marLeft w:val="0"/>
      <w:marRight w:val="0"/>
      <w:marTop w:val="0"/>
      <w:marBottom w:val="0"/>
      <w:divBdr>
        <w:top w:val="none" w:sz="0" w:space="0" w:color="auto"/>
        <w:left w:val="none" w:sz="0" w:space="0" w:color="auto"/>
        <w:bottom w:val="none" w:sz="0" w:space="0" w:color="auto"/>
        <w:right w:val="none" w:sz="0" w:space="0" w:color="auto"/>
      </w:divBdr>
    </w:div>
    <w:div w:id="724137036">
      <w:bodyDiv w:val="1"/>
      <w:marLeft w:val="0"/>
      <w:marRight w:val="0"/>
      <w:marTop w:val="0"/>
      <w:marBottom w:val="0"/>
      <w:divBdr>
        <w:top w:val="none" w:sz="0" w:space="0" w:color="auto"/>
        <w:left w:val="none" w:sz="0" w:space="0" w:color="auto"/>
        <w:bottom w:val="none" w:sz="0" w:space="0" w:color="auto"/>
        <w:right w:val="none" w:sz="0" w:space="0" w:color="auto"/>
      </w:divBdr>
    </w:div>
    <w:div w:id="736511069">
      <w:bodyDiv w:val="1"/>
      <w:marLeft w:val="0"/>
      <w:marRight w:val="0"/>
      <w:marTop w:val="0"/>
      <w:marBottom w:val="0"/>
      <w:divBdr>
        <w:top w:val="none" w:sz="0" w:space="0" w:color="auto"/>
        <w:left w:val="none" w:sz="0" w:space="0" w:color="auto"/>
        <w:bottom w:val="none" w:sz="0" w:space="0" w:color="auto"/>
        <w:right w:val="none" w:sz="0" w:space="0" w:color="auto"/>
      </w:divBdr>
    </w:div>
    <w:div w:id="745303350">
      <w:bodyDiv w:val="1"/>
      <w:marLeft w:val="0"/>
      <w:marRight w:val="0"/>
      <w:marTop w:val="0"/>
      <w:marBottom w:val="0"/>
      <w:divBdr>
        <w:top w:val="none" w:sz="0" w:space="0" w:color="auto"/>
        <w:left w:val="none" w:sz="0" w:space="0" w:color="auto"/>
        <w:bottom w:val="none" w:sz="0" w:space="0" w:color="auto"/>
        <w:right w:val="none" w:sz="0" w:space="0" w:color="auto"/>
      </w:divBdr>
    </w:div>
    <w:div w:id="746153053">
      <w:bodyDiv w:val="1"/>
      <w:marLeft w:val="0"/>
      <w:marRight w:val="0"/>
      <w:marTop w:val="0"/>
      <w:marBottom w:val="0"/>
      <w:divBdr>
        <w:top w:val="none" w:sz="0" w:space="0" w:color="auto"/>
        <w:left w:val="none" w:sz="0" w:space="0" w:color="auto"/>
        <w:bottom w:val="none" w:sz="0" w:space="0" w:color="auto"/>
        <w:right w:val="none" w:sz="0" w:space="0" w:color="auto"/>
      </w:divBdr>
    </w:div>
    <w:div w:id="746656860">
      <w:bodyDiv w:val="1"/>
      <w:marLeft w:val="0"/>
      <w:marRight w:val="0"/>
      <w:marTop w:val="0"/>
      <w:marBottom w:val="0"/>
      <w:divBdr>
        <w:top w:val="none" w:sz="0" w:space="0" w:color="auto"/>
        <w:left w:val="none" w:sz="0" w:space="0" w:color="auto"/>
        <w:bottom w:val="none" w:sz="0" w:space="0" w:color="auto"/>
        <w:right w:val="none" w:sz="0" w:space="0" w:color="auto"/>
      </w:divBdr>
    </w:div>
    <w:div w:id="747268496">
      <w:bodyDiv w:val="1"/>
      <w:marLeft w:val="0"/>
      <w:marRight w:val="0"/>
      <w:marTop w:val="0"/>
      <w:marBottom w:val="0"/>
      <w:divBdr>
        <w:top w:val="none" w:sz="0" w:space="0" w:color="auto"/>
        <w:left w:val="none" w:sz="0" w:space="0" w:color="auto"/>
        <w:bottom w:val="none" w:sz="0" w:space="0" w:color="auto"/>
        <w:right w:val="none" w:sz="0" w:space="0" w:color="auto"/>
      </w:divBdr>
    </w:div>
    <w:div w:id="748582618">
      <w:bodyDiv w:val="1"/>
      <w:marLeft w:val="0"/>
      <w:marRight w:val="0"/>
      <w:marTop w:val="0"/>
      <w:marBottom w:val="0"/>
      <w:divBdr>
        <w:top w:val="none" w:sz="0" w:space="0" w:color="auto"/>
        <w:left w:val="none" w:sz="0" w:space="0" w:color="auto"/>
        <w:bottom w:val="none" w:sz="0" w:space="0" w:color="auto"/>
        <w:right w:val="none" w:sz="0" w:space="0" w:color="auto"/>
      </w:divBdr>
    </w:div>
    <w:div w:id="751315105">
      <w:bodyDiv w:val="1"/>
      <w:marLeft w:val="0"/>
      <w:marRight w:val="0"/>
      <w:marTop w:val="0"/>
      <w:marBottom w:val="0"/>
      <w:divBdr>
        <w:top w:val="none" w:sz="0" w:space="0" w:color="auto"/>
        <w:left w:val="none" w:sz="0" w:space="0" w:color="auto"/>
        <w:bottom w:val="none" w:sz="0" w:space="0" w:color="auto"/>
        <w:right w:val="none" w:sz="0" w:space="0" w:color="auto"/>
      </w:divBdr>
    </w:div>
    <w:div w:id="754403772">
      <w:bodyDiv w:val="1"/>
      <w:marLeft w:val="0"/>
      <w:marRight w:val="0"/>
      <w:marTop w:val="0"/>
      <w:marBottom w:val="0"/>
      <w:divBdr>
        <w:top w:val="none" w:sz="0" w:space="0" w:color="auto"/>
        <w:left w:val="none" w:sz="0" w:space="0" w:color="auto"/>
        <w:bottom w:val="none" w:sz="0" w:space="0" w:color="auto"/>
        <w:right w:val="none" w:sz="0" w:space="0" w:color="auto"/>
      </w:divBdr>
    </w:div>
    <w:div w:id="76476974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8180440">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02430113">
      <w:bodyDiv w:val="1"/>
      <w:marLeft w:val="0"/>
      <w:marRight w:val="0"/>
      <w:marTop w:val="0"/>
      <w:marBottom w:val="0"/>
      <w:divBdr>
        <w:top w:val="none" w:sz="0" w:space="0" w:color="auto"/>
        <w:left w:val="none" w:sz="0" w:space="0" w:color="auto"/>
        <w:bottom w:val="none" w:sz="0" w:space="0" w:color="auto"/>
        <w:right w:val="none" w:sz="0" w:space="0" w:color="auto"/>
      </w:divBdr>
    </w:div>
    <w:div w:id="804929044">
      <w:bodyDiv w:val="1"/>
      <w:marLeft w:val="0"/>
      <w:marRight w:val="0"/>
      <w:marTop w:val="0"/>
      <w:marBottom w:val="0"/>
      <w:divBdr>
        <w:top w:val="none" w:sz="0" w:space="0" w:color="auto"/>
        <w:left w:val="none" w:sz="0" w:space="0" w:color="auto"/>
        <w:bottom w:val="none" w:sz="0" w:space="0" w:color="auto"/>
        <w:right w:val="none" w:sz="0" w:space="0" w:color="auto"/>
      </w:divBdr>
    </w:div>
    <w:div w:id="806698935">
      <w:bodyDiv w:val="1"/>
      <w:marLeft w:val="0"/>
      <w:marRight w:val="0"/>
      <w:marTop w:val="0"/>
      <w:marBottom w:val="0"/>
      <w:divBdr>
        <w:top w:val="none" w:sz="0" w:space="0" w:color="auto"/>
        <w:left w:val="none" w:sz="0" w:space="0" w:color="auto"/>
        <w:bottom w:val="none" w:sz="0" w:space="0" w:color="auto"/>
        <w:right w:val="none" w:sz="0" w:space="0" w:color="auto"/>
      </w:divBdr>
    </w:div>
    <w:div w:id="811404831">
      <w:bodyDiv w:val="1"/>
      <w:marLeft w:val="0"/>
      <w:marRight w:val="0"/>
      <w:marTop w:val="0"/>
      <w:marBottom w:val="0"/>
      <w:divBdr>
        <w:top w:val="none" w:sz="0" w:space="0" w:color="auto"/>
        <w:left w:val="none" w:sz="0" w:space="0" w:color="auto"/>
        <w:bottom w:val="none" w:sz="0" w:space="0" w:color="auto"/>
        <w:right w:val="none" w:sz="0" w:space="0" w:color="auto"/>
      </w:divBdr>
    </w:div>
    <w:div w:id="828179920">
      <w:bodyDiv w:val="1"/>
      <w:marLeft w:val="0"/>
      <w:marRight w:val="0"/>
      <w:marTop w:val="0"/>
      <w:marBottom w:val="0"/>
      <w:divBdr>
        <w:top w:val="none" w:sz="0" w:space="0" w:color="auto"/>
        <w:left w:val="none" w:sz="0" w:space="0" w:color="auto"/>
        <w:bottom w:val="none" w:sz="0" w:space="0" w:color="auto"/>
        <w:right w:val="none" w:sz="0" w:space="0" w:color="auto"/>
      </w:divBdr>
    </w:div>
    <w:div w:id="832374277">
      <w:bodyDiv w:val="1"/>
      <w:marLeft w:val="0"/>
      <w:marRight w:val="0"/>
      <w:marTop w:val="0"/>
      <w:marBottom w:val="0"/>
      <w:divBdr>
        <w:top w:val="none" w:sz="0" w:space="0" w:color="auto"/>
        <w:left w:val="none" w:sz="0" w:space="0" w:color="auto"/>
        <w:bottom w:val="none" w:sz="0" w:space="0" w:color="auto"/>
        <w:right w:val="none" w:sz="0" w:space="0" w:color="auto"/>
      </w:divBdr>
    </w:div>
    <w:div w:id="857351276">
      <w:bodyDiv w:val="1"/>
      <w:marLeft w:val="0"/>
      <w:marRight w:val="0"/>
      <w:marTop w:val="0"/>
      <w:marBottom w:val="0"/>
      <w:divBdr>
        <w:top w:val="none" w:sz="0" w:space="0" w:color="auto"/>
        <w:left w:val="none" w:sz="0" w:space="0" w:color="auto"/>
        <w:bottom w:val="none" w:sz="0" w:space="0" w:color="auto"/>
        <w:right w:val="none" w:sz="0" w:space="0" w:color="auto"/>
      </w:divBdr>
    </w:div>
    <w:div w:id="892541112">
      <w:bodyDiv w:val="1"/>
      <w:marLeft w:val="0"/>
      <w:marRight w:val="0"/>
      <w:marTop w:val="0"/>
      <w:marBottom w:val="0"/>
      <w:divBdr>
        <w:top w:val="none" w:sz="0" w:space="0" w:color="auto"/>
        <w:left w:val="none" w:sz="0" w:space="0" w:color="auto"/>
        <w:bottom w:val="none" w:sz="0" w:space="0" w:color="auto"/>
        <w:right w:val="none" w:sz="0" w:space="0" w:color="auto"/>
      </w:divBdr>
    </w:div>
    <w:div w:id="894585273">
      <w:bodyDiv w:val="1"/>
      <w:marLeft w:val="0"/>
      <w:marRight w:val="0"/>
      <w:marTop w:val="0"/>
      <w:marBottom w:val="0"/>
      <w:divBdr>
        <w:top w:val="none" w:sz="0" w:space="0" w:color="auto"/>
        <w:left w:val="none" w:sz="0" w:space="0" w:color="auto"/>
        <w:bottom w:val="none" w:sz="0" w:space="0" w:color="auto"/>
        <w:right w:val="none" w:sz="0" w:space="0" w:color="auto"/>
      </w:divBdr>
    </w:div>
    <w:div w:id="910122662">
      <w:bodyDiv w:val="1"/>
      <w:marLeft w:val="0"/>
      <w:marRight w:val="0"/>
      <w:marTop w:val="0"/>
      <w:marBottom w:val="0"/>
      <w:divBdr>
        <w:top w:val="none" w:sz="0" w:space="0" w:color="auto"/>
        <w:left w:val="none" w:sz="0" w:space="0" w:color="auto"/>
        <w:bottom w:val="none" w:sz="0" w:space="0" w:color="auto"/>
        <w:right w:val="none" w:sz="0" w:space="0" w:color="auto"/>
      </w:divBdr>
    </w:div>
    <w:div w:id="925529976">
      <w:bodyDiv w:val="1"/>
      <w:marLeft w:val="0"/>
      <w:marRight w:val="0"/>
      <w:marTop w:val="0"/>
      <w:marBottom w:val="0"/>
      <w:divBdr>
        <w:top w:val="none" w:sz="0" w:space="0" w:color="auto"/>
        <w:left w:val="none" w:sz="0" w:space="0" w:color="auto"/>
        <w:bottom w:val="none" w:sz="0" w:space="0" w:color="auto"/>
        <w:right w:val="none" w:sz="0" w:space="0" w:color="auto"/>
      </w:divBdr>
    </w:div>
    <w:div w:id="928269223">
      <w:bodyDiv w:val="1"/>
      <w:marLeft w:val="0"/>
      <w:marRight w:val="0"/>
      <w:marTop w:val="0"/>
      <w:marBottom w:val="0"/>
      <w:divBdr>
        <w:top w:val="none" w:sz="0" w:space="0" w:color="auto"/>
        <w:left w:val="none" w:sz="0" w:space="0" w:color="auto"/>
        <w:bottom w:val="none" w:sz="0" w:space="0" w:color="auto"/>
        <w:right w:val="none" w:sz="0" w:space="0" w:color="auto"/>
      </w:divBdr>
    </w:div>
    <w:div w:id="933124170">
      <w:bodyDiv w:val="1"/>
      <w:marLeft w:val="0"/>
      <w:marRight w:val="0"/>
      <w:marTop w:val="0"/>
      <w:marBottom w:val="0"/>
      <w:divBdr>
        <w:top w:val="none" w:sz="0" w:space="0" w:color="auto"/>
        <w:left w:val="none" w:sz="0" w:space="0" w:color="auto"/>
        <w:bottom w:val="none" w:sz="0" w:space="0" w:color="auto"/>
        <w:right w:val="none" w:sz="0" w:space="0" w:color="auto"/>
      </w:divBdr>
    </w:div>
    <w:div w:id="935360950">
      <w:bodyDiv w:val="1"/>
      <w:marLeft w:val="0"/>
      <w:marRight w:val="0"/>
      <w:marTop w:val="0"/>
      <w:marBottom w:val="0"/>
      <w:divBdr>
        <w:top w:val="none" w:sz="0" w:space="0" w:color="auto"/>
        <w:left w:val="none" w:sz="0" w:space="0" w:color="auto"/>
        <w:bottom w:val="none" w:sz="0" w:space="0" w:color="auto"/>
        <w:right w:val="none" w:sz="0" w:space="0" w:color="auto"/>
      </w:divBdr>
    </w:div>
    <w:div w:id="953707941">
      <w:bodyDiv w:val="1"/>
      <w:marLeft w:val="0"/>
      <w:marRight w:val="0"/>
      <w:marTop w:val="0"/>
      <w:marBottom w:val="0"/>
      <w:divBdr>
        <w:top w:val="none" w:sz="0" w:space="0" w:color="auto"/>
        <w:left w:val="none" w:sz="0" w:space="0" w:color="auto"/>
        <w:bottom w:val="none" w:sz="0" w:space="0" w:color="auto"/>
        <w:right w:val="none" w:sz="0" w:space="0" w:color="auto"/>
      </w:divBdr>
    </w:div>
    <w:div w:id="954944256">
      <w:bodyDiv w:val="1"/>
      <w:marLeft w:val="0"/>
      <w:marRight w:val="0"/>
      <w:marTop w:val="0"/>
      <w:marBottom w:val="0"/>
      <w:divBdr>
        <w:top w:val="none" w:sz="0" w:space="0" w:color="auto"/>
        <w:left w:val="none" w:sz="0" w:space="0" w:color="auto"/>
        <w:bottom w:val="none" w:sz="0" w:space="0" w:color="auto"/>
        <w:right w:val="none" w:sz="0" w:space="0" w:color="auto"/>
      </w:divBdr>
    </w:div>
    <w:div w:id="955674005">
      <w:bodyDiv w:val="1"/>
      <w:marLeft w:val="0"/>
      <w:marRight w:val="0"/>
      <w:marTop w:val="0"/>
      <w:marBottom w:val="0"/>
      <w:divBdr>
        <w:top w:val="none" w:sz="0" w:space="0" w:color="auto"/>
        <w:left w:val="none" w:sz="0" w:space="0" w:color="auto"/>
        <w:bottom w:val="none" w:sz="0" w:space="0" w:color="auto"/>
        <w:right w:val="none" w:sz="0" w:space="0" w:color="auto"/>
      </w:divBdr>
    </w:div>
    <w:div w:id="978730161">
      <w:bodyDiv w:val="1"/>
      <w:marLeft w:val="0"/>
      <w:marRight w:val="0"/>
      <w:marTop w:val="0"/>
      <w:marBottom w:val="0"/>
      <w:divBdr>
        <w:top w:val="none" w:sz="0" w:space="0" w:color="auto"/>
        <w:left w:val="none" w:sz="0" w:space="0" w:color="auto"/>
        <w:bottom w:val="none" w:sz="0" w:space="0" w:color="auto"/>
        <w:right w:val="none" w:sz="0" w:space="0" w:color="auto"/>
      </w:divBdr>
    </w:div>
    <w:div w:id="993606874">
      <w:bodyDiv w:val="1"/>
      <w:marLeft w:val="0"/>
      <w:marRight w:val="0"/>
      <w:marTop w:val="0"/>
      <w:marBottom w:val="0"/>
      <w:divBdr>
        <w:top w:val="none" w:sz="0" w:space="0" w:color="auto"/>
        <w:left w:val="none" w:sz="0" w:space="0" w:color="auto"/>
        <w:bottom w:val="none" w:sz="0" w:space="0" w:color="auto"/>
        <w:right w:val="none" w:sz="0" w:space="0" w:color="auto"/>
      </w:divBdr>
    </w:div>
    <w:div w:id="1004632343">
      <w:bodyDiv w:val="1"/>
      <w:marLeft w:val="0"/>
      <w:marRight w:val="0"/>
      <w:marTop w:val="0"/>
      <w:marBottom w:val="0"/>
      <w:divBdr>
        <w:top w:val="none" w:sz="0" w:space="0" w:color="auto"/>
        <w:left w:val="none" w:sz="0" w:space="0" w:color="auto"/>
        <w:bottom w:val="none" w:sz="0" w:space="0" w:color="auto"/>
        <w:right w:val="none" w:sz="0" w:space="0" w:color="auto"/>
      </w:divBdr>
    </w:div>
    <w:div w:id="1011637945">
      <w:bodyDiv w:val="1"/>
      <w:marLeft w:val="0"/>
      <w:marRight w:val="0"/>
      <w:marTop w:val="0"/>
      <w:marBottom w:val="0"/>
      <w:divBdr>
        <w:top w:val="none" w:sz="0" w:space="0" w:color="auto"/>
        <w:left w:val="none" w:sz="0" w:space="0" w:color="auto"/>
        <w:bottom w:val="none" w:sz="0" w:space="0" w:color="auto"/>
        <w:right w:val="none" w:sz="0" w:space="0" w:color="auto"/>
      </w:divBdr>
    </w:div>
    <w:div w:id="1033845605">
      <w:bodyDiv w:val="1"/>
      <w:marLeft w:val="0"/>
      <w:marRight w:val="0"/>
      <w:marTop w:val="0"/>
      <w:marBottom w:val="0"/>
      <w:divBdr>
        <w:top w:val="none" w:sz="0" w:space="0" w:color="auto"/>
        <w:left w:val="none" w:sz="0" w:space="0" w:color="auto"/>
        <w:bottom w:val="none" w:sz="0" w:space="0" w:color="auto"/>
        <w:right w:val="none" w:sz="0" w:space="0" w:color="auto"/>
      </w:divBdr>
    </w:div>
    <w:div w:id="1034429716">
      <w:bodyDiv w:val="1"/>
      <w:marLeft w:val="0"/>
      <w:marRight w:val="0"/>
      <w:marTop w:val="0"/>
      <w:marBottom w:val="0"/>
      <w:divBdr>
        <w:top w:val="none" w:sz="0" w:space="0" w:color="auto"/>
        <w:left w:val="none" w:sz="0" w:space="0" w:color="auto"/>
        <w:bottom w:val="none" w:sz="0" w:space="0" w:color="auto"/>
        <w:right w:val="none" w:sz="0" w:space="0" w:color="auto"/>
      </w:divBdr>
    </w:div>
    <w:div w:id="1038359502">
      <w:bodyDiv w:val="1"/>
      <w:marLeft w:val="0"/>
      <w:marRight w:val="0"/>
      <w:marTop w:val="0"/>
      <w:marBottom w:val="0"/>
      <w:divBdr>
        <w:top w:val="none" w:sz="0" w:space="0" w:color="auto"/>
        <w:left w:val="none" w:sz="0" w:space="0" w:color="auto"/>
        <w:bottom w:val="none" w:sz="0" w:space="0" w:color="auto"/>
        <w:right w:val="none" w:sz="0" w:space="0" w:color="auto"/>
      </w:divBdr>
    </w:div>
    <w:div w:id="1045713871">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81878784">
      <w:bodyDiv w:val="1"/>
      <w:marLeft w:val="0"/>
      <w:marRight w:val="0"/>
      <w:marTop w:val="0"/>
      <w:marBottom w:val="0"/>
      <w:divBdr>
        <w:top w:val="none" w:sz="0" w:space="0" w:color="auto"/>
        <w:left w:val="none" w:sz="0" w:space="0" w:color="auto"/>
        <w:bottom w:val="none" w:sz="0" w:space="0" w:color="auto"/>
        <w:right w:val="none" w:sz="0" w:space="0" w:color="auto"/>
      </w:divBdr>
    </w:div>
    <w:div w:id="1090615960">
      <w:bodyDiv w:val="1"/>
      <w:marLeft w:val="0"/>
      <w:marRight w:val="0"/>
      <w:marTop w:val="0"/>
      <w:marBottom w:val="0"/>
      <w:divBdr>
        <w:top w:val="none" w:sz="0" w:space="0" w:color="auto"/>
        <w:left w:val="none" w:sz="0" w:space="0" w:color="auto"/>
        <w:bottom w:val="none" w:sz="0" w:space="0" w:color="auto"/>
        <w:right w:val="none" w:sz="0" w:space="0" w:color="auto"/>
      </w:divBdr>
    </w:div>
    <w:div w:id="1094277546">
      <w:bodyDiv w:val="1"/>
      <w:marLeft w:val="0"/>
      <w:marRight w:val="0"/>
      <w:marTop w:val="0"/>
      <w:marBottom w:val="0"/>
      <w:divBdr>
        <w:top w:val="none" w:sz="0" w:space="0" w:color="auto"/>
        <w:left w:val="none" w:sz="0" w:space="0" w:color="auto"/>
        <w:bottom w:val="none" w:sz="0" w:space="0" w:color="auto"/>
        <w:right w:val="none" w:sz="0" w:space="0" w:color="auto"/>
      </w:divBdr>
    </w:div>
    <w:div w:id="1099957750">
      <w:bodyDiv w:val="1"/>
      <w:marLeft w:val="0"/>
      <w:marRight w:val="0"/>
      <w:marTop w:val="0"/>
      <w:marBottom w:val="0"/>
      <w:divBdr>
        <w:top w:val="none" w:sz="0" w:space="0" w:color="auto"/>
        <w:left w:val="none" w:sz="0" w:space="0" w:color="auto"/>
        <w:bottom w:val="none" w:sz="0" w:space="0" w:color="auto"/>
        <w:right w:val="none" w:sz="0" w:space="0" w:color="auto"/>
      </w:divBdr>
    </w:div>
    <w:div w:id="1100102733">
      <w:bodyDiv w:val="1"/>
      <w:marLeft w:val="0"/>
      <w:marRight w:val="0"/>
      <w:marTop w:val="0"/>
      <w:marBottom w:val="0"/>
      <w:divBdr>
        <w:top w:val="none" w:sz="0" w:space="0" w:color="auto"/>
        <w:left w:val="none" w:sz="0" w:space="0" w:color="auto"/>
        <w:bottom w:val="none" w:sz="0" w:space="0" w:color="auto"/>
        <w:right w:val="none" w:sz="0" w:space="0" w:color="auto"/>
      </w:divBdr>
    </w:div>
    <w:div w:id="1108700060">
      <w:bodyDiv w:val="1"/>
      <w:marLeft w:val="0"/>
      <w:marRight w:val="0"/>
      <w:marTop w:val="0"/>
      <w:marBottom w:val="0"/>
      <w:divBdr>
        <w:top w:val="none" w:sz="0" w:space="0" w:color="auto"/>
        <w:left w:val="none" w:sz="0" w:space="0" w:color="auto"/>
        <w:bottom w:val="none" w:sz="0" w:space="0" w:color="auto"/>
        <w:right w:val="none" w:sz="0" w:space="0" w:color="auto"/>
      </w:divBdr>
    </w:div>
    <w:div w:id="1118984613">
      <w:bodyDiv w:val="1"/>
      <w:marLeft w:val="0"/>
      <w:marRight w:val="0"/>
      <w:marTop w:val="0"/>
      <w:marBottom w:val="0"/>
      <w:divBdr>
        <w:top w:val="none" w:sz="0" w:space="0" w:color="auto"/>
        <w:left w:val="none" w:sz="0" w:space="0" w:color="auto"/>
        <w:bottom w:val="none" w:sz="0" w:space="0" w:color="auto"/>
        <w:right w:val="none" w:sz="0" w:space="0" w:color="auto"/>
      </w:divBdr>
    </w:div>
    <w:div w:id="1120563092">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42962732">
      <w:bodyDiv w:val="1"/>
      <w:marLeft w:val="0"/>
      <w:marRight w:val="0"/>
      <w:marTop w:val="0"/>
      <w:marBottom w:val="0"/>
      <w:divBdr>
        <w:top w:val="none" w:sz="0" w:space="0" w:color="auto"/>
        <w:left w:val="none" w:sz="0" w:space="0" w:color="auto"/>
        <w:bottom w:val="none" w:sz="0" w:space="0" w:color="auto"/>
        <w:right w:val="none" w:sz="0" w:space="0" w:color="auto"/>
      </w:divBdr>
    </w:div>
    <w:div w:id="1155875293">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66213200">
      <w:bodyDiv w:val="1"/>
      <w:marLeft w:val="0"/>
      <w:marRight w:val="0"/>
      <w:marTop w:val="0"/>
      <w:marBottom w:val="0"/>
      <w:divBdr>
        <w:top w:val="none" w:sz="0" w:space="0" w:color="auto"/>
        <w:left w:val="none" w:sz="0" w:space="0" w:color="auto"/>
        <w:bottom w:val="none" w:sz="0" w:space="0" w:color="auto"/>
        <w:right w:val="none" w:sz="0" w:space="0" w:color="auto"/>
      </w:divBdr>
    </w:div>
    <w:div w:id="1170751314">
      <w:bodyDiv w:val="1"/>
      <w:marLeft w:val="0"/>
      <w:marRight w:val="0"/>
      <w:marTop w:val="0"/>
      <w:marBottom w:val="0"/>
      <w:divBdr>
        <w:top w:val="none" w:sz="0" w:space="0" w:color="auto"/>
        <w:left w:val="none" w:sz="0" w:space="0" w:color="auto"/>
        <w:bottom w:val="none" w:sz="0" w:space="0" w:color="auto"/>
        <w:right w:val="none" w:sz="0" w:space="0" w:color="auto"/>
      </w:divBdr>
    </w:div>
    <w:div w:id="1194003168">
      <w:bodyDiv w:val="1"/>
      <w:marLeft w:val="0"/>
      <w:marRight w:val="0"/>
      <w:marTop w:val="0"/>
      <w:marBottom w:val="0"/>
      <w:divBdr>
        <w:top w:val="none" w:sz="0" w:space="0" w:color="auto"/>
        <w:left w:val="none" w:sz="0" w:space="0" w:color="auto"/>
        <w:bottom w:val="none" w:sz="0" w:space="0" w:color="auto"/>
        <w:right w:val="none" w:sz="0" w:space="0" w:color="auto"/>
      </w:divBdr>
    </w:div>
    <w:div w:id="1210921850">
      <w:bodyDiv w:val="1"/>
      <w:marLeft w:val="0"/>
      <w:marRight w:val="0"/>
      <w:marTop w:val="0"/>
      <w:marBottom w:val="0"/>
      <w:divBdr>
        <w:top w:val="none" w:sz="0" w:space="0" w:color="auto"/>
        <w:left w:val="none" w:sz="0" w:space="0" w:color="auto"/>
        <w:bottom w:val="none" w:sz="0" w:space="0" w:color="auto"/>
        <w:right w:val="none" w:sz="0" w:space="0" w:color="auto"/>
      </w:divBdr>
    </w:div>
    <w:div w:id="1211724596">
      <w:bodyDiv w:val="1"/>
      <w:marLeft w:val="0"/>
      <w:marRight w:val="0"/>
      <w:marTop w:val="0"/>
      <w:marBottom w:val="0"/>
      <w:divBdr>
        <w:top w:val="none" w:sz="0" w:space="0" w:color="auto"/>
        <w:left w:val="none" w:sz="0" w:space="0" w:color="auto"/>
        <w:bottom w:val="none" w:sz="0" w:space="0" w:color="auto"/>
        <w:right w:val="none" w:sz="0" w:space="0" w:color="auto"/>
      </w:divBdr>
    </w:div>
    <w:div w:id="1214655967">
      <w:bodyDiv w:val="1"/>
      <w:marLeft w:val="0"/>
      <w:marRight w:val="0"/>
      <w:marTop w:val="0"/>
      <w:marBottom w:val="0"/>
      <w:divBdr>
        <w:top w:val="none" w:sz="0" w:space="0" w:color="auto"/>
        <w:left w:val="none" w:sz="0" w:space="0" w:color="auto"/>
        <w:bottom w:val="none" w:sz="0" w:space="0" w:color="auto"/>
        <w:right w:val="none" w:sz="0" w:space="0" w:color="auto"/>
      </w:divBdr>
    </w:div>
    <w:div w:id="1232229406">
      <w:bodyDiv w:val="1"/>
      <w:marLeft w:val="0"/>
      <w:marRight w:val="0"/>
      <w:marTop w:val="0"/>
      <w:marBottom w:val="0"/>
      <w:divBdr>
        <w:top w:val="none" w:sz="0" w:space="0" w:color="auto"/>
        <w:left w:val="none" w:sz="0" w:space="0" w:color="auto"/>
        <w:bottom w:val="none" w:sz="0" w:space="0" w:color="auto"/>
        <w:right w:val="none" w:sz="0" w:space="0" w:color="auto"/>
      </w:divBdr>
    </w:div>
    <w:div w:id="1242636577">
      <w:bodyDiv w:val="1"/>
      <w:marLeft w:val="0"/>
      <w:marRight w:val="0"/>
      <w:marTop w:val="0"/>
      <w:marBottom w:val="0"/>
      <w:divBdr>
        <w:top w:val="none" w:sz="0" w:space="0" w:color="auto"/>
        <w:left w:val="none" w:sz="0" w:space="0" w:color="auto"/>
        <w:bottom w:val="none" w:sz="0" w:space="0" w:color="auto"/>
        <w:right w:val="none" w:sz="0" w:space="0" w:color="auto"/>
      </w:divBdr>
    </w:div>
    <w:div w:id="1252202043">
      <w:bodyDiv w:val="1"/>
      <w:marLeft w:val="0"/>
      <w:marRight w:val="0"/>
      <w:marTop w:val="0"/>
      <w:marBottom w:val="0"/>
      <w:divBdr>
        <w:top w:val="none" w:sz="0" w:space="0" w:color="auto"/>
        <w:left w:val="none" w:sz="0" w:space="0" w:color="auto"/>
        <w:bottom w:val="none" w:sz="0" w:space="0" w:color="auto"/>
        <w:right w:val="none" w:sz="0" w:space="0" w:color="auto"/>
      </w:divBdr>
    </w:div>
    <w:div w:id="1264604742">
      <w:bodyDiv w:val="1"/>
      <w:marLeft w:val="0"/>
      <w:marRight w:val="0"/>
      <w:marTop w:val="0"/>
      <w:marBottom w:val="0"/>
      <w:divBdr>
        <w:top w:val="none" w:sz="0" w:space="0" w:color="auto"/>
        <w:left w:val="none" w:sz="0" w:space="0" w:color="auto"/>
        <w:bottom w:val="none" w:sz="0" w:space="0" w:color="auto"/>
        <w:right w:val="none" w:sz="0" w:space="0" w:color="auto"/>
      </w:divBdr>
    </w:div>
    <w:div w:id="1288009507">
      <w:bodyDiv w:val="1"/>
      <w:marLeft w:val="0"/>
      <w:marRight w:val="0"/>
      <w:marTop w:val="0"/>
      <w:marBottom w:val="0"/>
      <w:divBdr>
        <w:top w:val="none" w:sz="0" w:space="0" w:color="auto"/>
        <w:left w:val="none" w:sz="0" w:space="0" w:color="auto"/>
        <w:bottom w:val="none" w:sz="0" w:space="0" w:color="auto"/>
        <w:right w:val="none" w:sz="0" w:space="0" w:color="auto"/>
      </w:divBdr>
    </w:div>
    <w:div w:id="1291980376">
      <w:bodyDiv w:val="1"/>
      <w:marLeft w:val="0"/>
      <w:marRight w:val="0"/>
      <w:marTop w:val="0"/>
      <w:marBottom w:val="0"/>
      <w:divBdr>
        <w:top w:val="none" w:sz="0" w:space="0" w:color="auto"/>
        <w:left w:val="none" w:sz="0" w:space="0" w:color="auto"/>
        <w:bottom w:val="none" w:sz="0" w:space="0" w:color="auto"/>
        <w:right w:val="none" w:sz="0" w:space="0" w:color="auto"/>
      </w:divBdr>
    </w:div>
    <w:div w:id="1292900590">
      <w:bodyDiv w:val="1"/>
      <w:marLeft w:val="0"/>
      <w:marRight w:val="0"/>
      <w:marTop w:val="0"/>
      <w:marBottom w:val="0"/>
      <w:divBdr>
        <w:top w:val="none" w:sz="0" w:space="0" w:color="auto"/>
        <w:left w:val="none" w:sz="0" w:space="0" w:color="auto"/>
        <w:bottom w:val="none" w:sz="0" w:space="0" w:color="auto"/>
        <w:right w:val="none" w:sz="0" w:space="0" w:color="auto"/>
      </w:divBdr>
    </w:div>
    <w:div w:id="1305357278">
      <w:bodyDiv w:val="1"/>
      <w:marLeft w:val="0"/>
      <w:marRight w:val="0"/>
      <w:marTop w:val="0"/>
      <w:marBottom w:val="0"/>
      <w:divBdr>
        <w:top w:val="none" w:sz="0" w:space="0" w:color="auto"/>
        <w:left w:val="none" w:sz="0" w:space="0" w:color="auto"/>
        <w:bottom w:val="none" w:sz="0" w:space="0" w:color="auto"/>
        <w:right w:val="none" w:sz="0" w:space="0" w:color="auto"/>
      </w:divBdr>
    </w:div>
    <w:div w:id="1335184547">
      <w:bodyDiv w:val="1"/>
      <w:marLeft w:val="0"/>
      <w:marRight w:val="0"/>
      <w:marTop w:val="0"/>
      <w:marBottom w:val="0"/>
      <w:divBdr>
        <w:top w:val="none" w:sz="0" w:space="0" w:color="auto"/>
        <w:left w:val="none" w:sz="0" w:space="0" w:color="auto"/>
        <w:bottom w:val="none" w:sz="0" w:space="0" w:color="auto"/>
        <w:right w:val="none" w:sz="0" w:space="0" w:color="auto"/>
      </w:divBdr>
    </w:div>
    <w:div w:id="1338537929">
      <w:bodyDiv w:val="1"/>
      <w:marLeft w:val="0"/>
      <w:marRight w:val="0"/>
      <w:marTop w:val="0"/>
      <w:marBottom w:val="0"/>
      <w:divBdr>
        <w:top w:val="none" w:sz="0" w:space="0" w:color="auto"/>
        <w:left w:val="none" w:sz="0" w:space="0" w:color="auto"/>
        <w:bottom w:val="none" w:sz="0" w:space="0" w:color="auto"/>
        <w:right w:val="none" w:sz="0" w:space="0" w:color="auto"/>
      </w:divBdr>
    </w:div>
    <w:div w:id="1338997036">
      <w:bodyDiv w:val="1"/>
      <w:marLeft w:val="0"/>
      <w:marRight w:val="0"/>
      <w:marTop w:val="0"/>
      <w:marBottom w:val="0"/>
      <w:divBdr>
        <w:top w:val="none" w:sz="0" w:space="0" w:color="auto"/>
        <w:left w:val="none" w:sz="0" w:space="0" w:color="auto"/>
        <w:bottom w:val="none" w:sz="0" w:space="0" w:color="auto"/>
        <w:right w:val="none" w:sz="0" w:space="0" w:color="auto"/>
      </w:divBdr>
    </w:div>
    <w:div w:id="1359507743">
      <w:bodyDiv w:val="1"/>
      <w:marLeft w:val="0"/>
      <w:marRight w:val="0"/>
      <w:marTop w:val="0"/>
      <w:marBottom w:val="0"/>
      <w:divBdr>
        <w:top w:val="none" w:sz="0" w:space="0" w:color="auto"/>
        <w:left w:val="none" w:sz="0" w:space="0" w:color="auto"/>
        <w:bottom w:val="none" w:sz="0" w:space="0" w:color="auto"/>
        <w:right w:val="none" w:sz="0" w:space="0" w:color="auto"/>
      </w:divBdr>
    </w:div>
    <w:div w:id="1366323923">
      <w:bodyDiv w:val="1"/>
      <w:marLeft w:val="0"/>
      <w:marRight w:val="0"/>
      <w:marTop w:val="0"/>
      <w:marBottom w:val="0"/>
      <w:divBdr>
        <w:top w:val="none" w:sz="0" w:space="0" w:color="auto"/>
        <w:left w:val="none" w:sz="0" w:space="0" w:color="auto"/>
        <w:bottom w:val="none" w:sz="0" w:space="0" w:color="auto"/>
        <w:right w:val="none" w:sz="0" w:space="0" w:color="auto"/>
      </w:divBdr>
    </w:div>
    <w:div w:id="1369725293">
      <w:bodyDiv w:val="1"/>
      <w:marLeft w:val="0"/>
      <w:marRight w:val="0"/>
      <w:marTop w:val="0"/>
      <w:marBottom w:val="0"/>
      <w:divBdr>
        <w:top w:val="none" w:sz="0" w:space="0" w:color="auto"/>
        <w:left w:val="none" w:sz="0" w:space="0" w:color="auto"/>
        <w:bottom w:val="none" w:sz="0" w:space="0" w:color="auto"/>
        <w:right w:val="none" w:sz="0" w:space="0" w:color="auto"/>
      </w:divBdr>
    </w:div>
    <w:div w:id="1370377485">
      <w:bodyDiv w:val="1"/>
      <w:marLeft w:val="0"/>
      <w:marRight w:val="0"/>
      <w:marTop w:val="0"/>
      <w:marBottom w:val="0"/>
      <w:divBdr>
        <w:top w:val="none" w:sz="0" w:space="0" w:color="auto"/>
        <w:left w:val="none" w:sz="0" w:space="0" w:color="auto"/>
        <w:bottom w:val="none" w:sz="0" w:space="0" w:color="auto"/>
        <w:right w:val="none" w:sz="0" w:space="0" w:color="auto"/>
      </w:divBdr>
    </w:div>
    <w:div w:id="1391727469">
      <w:bodyDiv w:val="1"/>
      <w:marLeft w:val="0"/>
      <w:marRight w:val="0"/>
      <w:marTop w:val="0"/>
      <w:marBottom w:val="0"/>
      <w:divBdr>
        <w:top w:val="none" w:sz="0" w:space="0" w:color="auto"/>
        <w:left w:val="none" w:sz="0" w:space="0" w:color="auto"/>
        <w:bottom w:val="none" w:sz="0" w:space="0" w:color="auto"/>
        <w:right w:val="none" w:sz="0" w:space="0" w:color="auto"/>
      </w:divBdr>
    </w:div>
    <w:div w:id="1395274903">
      <w:bodyDiv w:val="1"/>
      <w:marLeft w:val="0"/>
      <w:marRight w:val="0"/>
      <w:marTop w:val="0"/>
      <w:marBottom w:val="0"/>
      <w:divBdr>
        <w:top w:val="none" w:sz="0" w:space="0" w:color="auto"/>
        <w:left w:val="none" w:sz="0" w:space="0" w:color="auto"/>
        <w:bottom w:val="none" w:sz="0" w:space="0" w:color="auto"/>
        <w:right w:val="none" w:sz="0" w:space="0" w:color="auto"/>
      </w:divBdr>
    </w:div>
    <w:div w:id="1419135934">
      <w:bodyDiv w:val="1"/>
      <w:marLeft w:val="0"/>
      <w:marRight w:val="0"/>
      <w:marTop w:val="0"/>
      <w:marBottom w:val="0"/>
      <w:divBdr>
        <w:top w:val="none" w:sz="0" w:space="0" w:color="auto"/>
        <w:left w:val="none" w:sz="0" w:space="0" w:color="auto"/>
        <w:bottom w:val="none" w:sz="0" w:space="0" w:color="auto"/>
        <w:right w:val="none" w:sz="0" w:space="0" w:color="auto"/>
      </w:divBdr>
    </w:div>
    <w:div w:id="1419600262">
      <w:bodyDiv w:val="1"/>
      <w:marLeft w:val="0"/>
      <w:marRight w:val="0"/>
      <w:marTop w:val="0"/>
      <w:marBottom w:val="0"/>
      <w:divBdr>
        <w:top w:val="none" w:sz="0" w:space="0" w:color="auto"/>
        <w:left w:val="none" w:sz="0" w:space="0" w:color="auto"/>
        <w:bottom w:val="none" w:sz="0" w:space="0" w:color="auto"/>
        <w:right w:val="none" w:sz="0" w:space="0" w:color="auto"/>
      </w:divBdr>
    </w:div>
    <w:div w:id="1431393246">
      <w:bodyDiv w:val="1"/>
      <w:marLeft w:val="0"/>
      <w:marRight w:val="0"/>
      <w:marTop w:val="0"/>
      <w:marBottom w:val="0"/>
      <w:divBdr>
        <w:top w:val="none" w:sz="0" w:space="0" w:color="auto"/>
        <w:left w:val="none" w:sz="0" w:space="0" w:color="auto"/>
        <w:bottom w:val="none" w:sz="0" w:space="0" w:color="auto"/>
        <w:right w:val="none" w:sz="0" w:space="0" w:color="auto"/>
      </w:divBdr>
    </w:div>
    <w:div w:id="1444183405">
      <w:bodyDiv w:val="1"/>
      <w:marLeft w:val="0"/>
      <w:marRight w:val="0"/>
      <w:marTop w:val="0"/>
      <w:marBottom w:val="0"/>
      <w:divBdr>
        <w:top w:val="none" w:sz="0" w:space="0" w:color="auto"/>
        <w:left w:val="none" w:sz="0" w:space="0" w:color="auto"/>
        <w:bottom w:val="none" w:sz="0" w:space="0" w:color="auto"/>
        <w:right w:val="none" w:sz="0" w:space="0" w:color="auto"/>
      </w:divBdr>
    </w:div>
    <w:div w:id="1445343922">
      <w:bodyDiv w:val="1"/>
      <w:marLeft w:val="0"/>
      <w:marRight w:val="0"/>
      <w:marTop w:val="0"/>
      <w:marBottom w:val="0"/>
      <w:divBdr>
        <w:top w:val="none" w:sz="0" w:space="0" w:color="auto"/>
        <w:left w:val="none" w:sz="0" w:space="0" w:color="auto"/>
        <w:bottom w:val="none" w:sz="0" w:space="0" w:color="auto"/>
        <w:right w:val="none" w:sz="0" w:space="0" w:color="auto"/>
      </w:divBdr>
    </w:div>
    <w:div w:id="1459295784">
      <w:bodyDiv w:val="1"/>
      <w:marLeft w:val="0"/>
      <w:marRight w:val="0"/>
      <w:marTop w:val="0"/>
      <w:marBottom w:val="0"/>
      <w:divBdr>
        <w:top w:val="none" w:sz="0" w:space="0" w:color="auto"/>
        <w:left w:val="none" w:sz="0" w:space="0" w:color="auto"/>
        <w:bottom w:val="none" w:sz="0" w:space="0" w:color="auto"/>
        <w:right w:val="none" w:sz="0" w:space="0" w:color="auto"/>
      </w:divBdr>
    </w:div>
    <w:div w:id="1468472837">
      <w:bodyDiv w:val="1"/>
      <w:marLeft w:val="0"/>
      <w:marRight w:val="0"/>
      <w:marTop w:val="0"/>
      <w:marBottom w:val="0"/>
      <w:divBdr>
        <w:top w:val="none" w:sz="0" w:space="0" w:color="auto"/>
        <w:left w:val="none" w:sz="0" w:space="0" w:color="auto"/>
        <w:bottom w:val="none" w:sz="0" w:space="0" w:color="auto"/>
        <w:right w:val="none" w:sz="0" w:space="0" w:color="auto"/>
      </w:divBdr>
    </w:div>
    <w:div w:id="1472938445">
      <w:bodyDiv w:val="1"/>
      <w:marLeft w:val="0"/>
      <w:marRight w:val="0"/>
      <w:marTop w:val="0"/>
      <w:marBottom w:val="0"/>
      <w:divBdr>
        <w:top w:val="none" w:sz="0" w:space="0" w:color="auto"/>
        <w:left w:val="none" w:sz="0" w:space="0" w:color="auto"/>
        <w:bottom w:val="none" w:sz="0" w:space="0" w:color="auto"/>
        <w:right w:val="none" w:sz="0" w:space="0" w:color="auto"/>
      </w:divBdr>
    </w:div>
    <w:div w:id="1481921840">
      <w:bodyDiv w:val="1"/>
      <w:marLeft w:val="0"/>
      <w:marRight w:val="0"/>
      <w:marTop w:val="0"/>
      <w:marBottom w:val="0"/>
      <w:divBdr>
        <w:top w:val="none" w:sz="0" w:space="0" w:color="auto"/>
        <w:left w:val="none" w:sz="0" w:space="0" w:color="auto"/>
        <w:bottom w:val="none" w:sz="0" w:space="0" w:color="auto"/>
        <w:right w:val="none" w:sz="0" w:space="0" w:color="auto"/>
      </w:divBdr>
    </w:div>
    <w:div w:id="1485783191">
      <w:bodyDiv w:val="1"/>
      <w:marLeft w:val="0"/>
      <w:marRight w:val="0"/>
      <w:marTop w:val="0"/>
      <w:marBottom w:val="0"/>
      <w:divBdr>
        <w:top w:val="none" w:sz="0" w:space="0" w:color="auto"/>
        <w:left w:val="none" w:sz="0" w:space="0" w:color="auto"/>
        <w:bottom w:val="none" w:sz="0" w:space="0" w:color="auto"/>
        <w:right w:val="none" w:sz="0" w:space="0" w:color="auto"/>
      </w:divBdr>
    </w:div>
    <w:div w:id="1496414603">
      <w:bodyDiv w:val="1"/>
      <w:marLeft w:val="0"/>
      <w:marRight w:val="0"/>
      <w:marTop w:val="0"/>
      <w:marBottom w:val="0"/>
      <w:divBdr>
        <w:top w:val="none" w:sz="0" w:space="0" w:color="auto"/>
        <w:left w:val="none" w:sz="0" w:space="0" w:color="auto"/>
        <w:bottom w:val="none" w:sz="0" w:space="0" w:color="auto"/>
        <w:right w:val="none" w:sz="0" w:space="0" w:color="auto"/>
      </w:divBdr>
    </w:div>
    <w:div w:id="1498686172">
      <w:bodyDiv w:val="1"/>
      <w:marLeft w:val="0"/>
      <w:marRight w:val="0"/>
      <w:marTop w:val="0"/>
      <w:marBottom w:val="0"/>
      <w:divBdr>
        <w:top w:val="none" w:sz="0" w:space="0" w:color="auto"/>
        <w:left w:val="none" w:sz="0" w:space="0" w:color="auto"/>
        <w:bottom w:val="none" w:sz="0" w:space="0" w:color="auto"/>
        <w:right w:val="none" w:sz="0" w:space="0" w:color="auto"/>
      </w:divBdr>
    </w:div>
    <w:div w:id="1509828078">
      <w:bodyDiv w:val="1"/>
      <w:marLeft w:val="0"/>
      <w:marRight w:val="0"/>
      <w:marTop w:val="0"/>
      <w:marBottom w:val="0"/>
      <w:divBdr>
        <w:top w:val="none" w:sz="0" w:space="0" w:color="auto"/>
        <w:left w:val="none" w:sz="0" w:space="0" w:color="auto"/>
        <w:bottom w:val="none" w:sz="0" w:space="0" w:color="auto"/>
        <w:right w:val="none" w:sz="0" w:space="0" w:color="auto"/>
      </w:divBdr>
    </w:div>
    <w:div w:id="1512262185">
      <w:bodyDiv w:val="1"/>
      <w:marLeft w:val="0"/>
      <w:marRight w:val="0"/>
      <w:marTop w:val="0"/>
      <w:marBottom w:val="0"/>
      <w:divBdr>
        <w:top w:val="none" w:sz="0" w:space="0" w:color="auto"/>
        <w:left w:val="none" w:sz="0" w:space="0" w:color="auto"/>
        <w:bottom w:val="none" w:sz="0" w:space="0" w:color="auto"/>
        <w:right w:val="none" w:sz="0" w:space="0" w:color="auto"/>
      </w:divBdr>
    </w:div>
    <w:div w:id="1520777945">
      <w:bodyDiv w:val="1"/>
      <w:marLeft w:val="0"/>
      <w:marRight w:val="0"/>
      <w:marTop w:val="0"/>
      <w:marBottom w:val="0"/>
      <w:divBdr>
        <w:top w:val="none" w:sz="0" w:space="0" w:color="auto"/>
        <w:left w:val="none" w:sz="0" w:space="0" w:color="auto"/>
        <w:bottom w:val="none" w:sz="0" w:space="0" w:color="auto"/>
        <w:right w:val="none" w:sz="0" w:space="0" w:color="auto"/>
      </w:divBdr>
    </w:div>
    <w:div w:id="1531726464">
      <w:bodyDiv w:val="1"/>
      <w:marLeft w:val="0"/>
      <w:marRight w:val="0"/>
      <w:marTop w:val="0"/>
      <w:marBottom w:val="0"/>
      <w:divBdr>
        <w:top w:val="none" w:sz="0" w:space="0" w:color="auto"/>
        <w:left w:val="none" w:sz="0" w:space="0" w:color="auto"/>
        <w:bottom w:val="none" w:sz="0" w:space="0" w:color="auto"/>
        <w:right w:val="none" w:sz="0" w:space="0" w:color="auto"/>
      </w:divBdr>
    </w:div>
    <w:div w:id="1539271136">
      <w:bodyDiv w:val="1"/>
      <w:marLeft w:val="0"/>
      <w:marRight w:val="0"/>
      <w:marTop w:val="0"/>
      <w:marBottom w:val="0"/>
      <w:divBdr>
        <w:top w:val="none" w:sz="0" w:space="0" w:color="auto"/>
        <w:left w:val="none" w:sz="0" w:space="0" w:color="auto"/>
        <w:bottom w:val="none" w:sz="0" w:space="0" w:color="auto"/>
        <w:right w:val="none" w:sz="0" w:space="0" w:color="auto"/>
      </w:divBdr>
    </w:div>
    <w:div w:id="1547449081">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74194777">
      <w:bodyDiv w:val="1"/>
      <w:marLeft w:val="0"/>
      <w:marRight w:val="0"/>
      <w:marTop w:val="0"/>
      <w:marBottom w:val="0"/>
      <w:divBdr>
        <w:top w:val="none" w:sz="0" w:space="0" w:color="auto"/>
        <w:left w:val="none" w:sz="0" w:space="0" w:color="auto"/>
        <w:bottom w:val="none" w:sz="0" w:space="0" w:color="auto"/>
        <w:right w:val="none" w:sz="0" w:space="0" w:color="auto"/>
      </w:divBdr>
    </w:div>
    <w:div w:id="1580479245">
      <w:bodyDiv w:val="1"/>
      <w:marLeft w:val="0"/>
      <w:marRight w:val="0"/>
      <w:marTop w:val="0"/>
      <w:marBottom w:val="0"/>
      <w:divBdr>
        <w:top w:val="none" w:sz="0" w:space="0" w:color="auto"/>
        <w:left w:val="none" w:sz="0" w:space="0" w:color="auto"/>
        <w:bottom w:val="none" w:sz="0" w:space="0" w:color="auto"/>
        <w:right w:val="none" w:sz="0" w:space="0" w:color="auto"/>
      </w:divBdr>
    </w:div>
    <w:div w:id="1588424235">
      <w:bodyDiv w:val="1"/>
      <w:marLeft w:val="0"/>
      <w:marRight w:val="0"/>
      <w:marTop w:val="0"/>
      <w:marBottom w:val="0"/>
      <w:divBdr>
        <w:top w:val="none" w:sz="0" w:space="0" w:color="auto"/>
        <w:left w:val="none" w:sz="0" w:space="0" w:color="auto"/>
        <w:bottom w:val="none" w:sz="0" w:space="0" w:color="auto"/>
        <w:right w:val="none" w:sz="0" w:space="0" w:color="auto"/>
      </w:divBdr>
    </w:div>
    <w:div w:id="1594901150">
      <w:bodyDiv w:val="1"/>
      <w:marLeft w:val="0"/>
      <w:marRight w:val="0"/>
      <w:marTop w:val="0"/>
      <w:marBottom w:val="0"/>
      <w:divBdr>
        <w:top w:val="none" w:sz="0" w:space="0" w:color="auto"/>
        <w:left w:val="none" w:sz="0" w:space="0" w:color="auto"/>
        <w:bottom w:val="none" w:sz="0" w:space="0" w:color="auto"/>
        <w:right w:val="none" w:sz="0" w:space="0" w:color="auto"/>
      </w:divBdr>
    </w:div>
    <w:div w:id="1605574675">
      <w:bodyDiv w:val="1"/>
      <w:marLeft w:val="0"/>
      <w:marRight w:val="0"/>
      <w:marTop w:val="0"/>
      <w:marBottom w:val="0"/>
      <w:divBdr>
        <w:top w:val="none" w:sz="0" w:space="0" w:color="auto"/>
        <w:left w:val="none" w:sz="0" w:space="0" w:color="auto"/>
        <w:bottom w:val="none" w:sz="0" w:space="0" w:color="auto"/>
        <w:right w:val="none" w:sz="0" w:space="0" w:color="auto"/>
      </w:divBdr>
    </w:div>
    <w:div w:id="1622374615">
      <w:bodyDiv w:val="1"/>
      <w:marLeft w:val="0"/>
      <w:marRight w:val="0"/>
      <w:marTop w:val="0"/>
      <w:marBottom w:val="0"/>
      <w:divBdr>
        <w:top w:val="none" w:sz="0" w:space="0" w:color="auto"/>
        <w:left w:val="none" w:sz="0" w:space="0" w:color="auto"/>
        <w:bottom w:val="none" w:sz="0" w:space="0" w:color="auto"/>
        <w:right w:val="none" w:sz="0" w:space="0" w:color="auto"/>
      </w:divBdr>
    </w:div>
    <w:div w:id="1642150412">
      <w:bodyDiv w:val="1"/>
      <w:marLeft w:val="0"/>
      <w:marRight w:val="0"/>
      <w:marTop w:val="0"/>
      <w:marBottom w:val="0"/>
      <w:divBdr>
        <w:top w:val="none" w:sz="0" w:space="0" w:color="auto"/>
        <w:left w:val="none" w:sz="0" w:space="0" w:color="auto"/>
        <w:bottom w:val="none" w:sz="0" w:space="0" w:color="auto"/>
        <w:right w:val="none" w:sz="0" w:space="0" w:color="auto"/>
      </w:divBdr>
    </w:div>
    <w:div w:id="1644044150">
      <w:bodyDiv w:val="1"/>
      <w:marLeft w:val="0"/>
      <w:marRight w:val="0"/>
      <w:marTop w:val="0"/>
      <w:marBottom w:val="0"/>
      <w:divBdr>
        <w:top w:val="none" w:sz="0" w:space="0" w:color="auto"/>
        <w:left w:val="none" w:sz="0" w:space="0" w:color="auto"/>
        <w:bottom w:val="none" w:sz="0" w:space="0" w:color="auto"/>
        <w:right w:val="none" w:sz="0" w:space="0" w:color="auto"/>
      </w:divBdr>
    </w:div>
    <w:div w:id="1649699725">
      <w:bodyDiv w:val="1"/>
      <w:marLeft w:val="0"/>
      <w:marRight w:val="0"/>
      <w:marTop w:val="0"/>
      <w:marBottom w:val="0"/>
      <w:divBdr>
        <w:top w:val="none" w:sz="0" w:space="0" w:color="auto"/>
        <w:left w:val="none" w:sz="0" w:space="0" w:color="auto"/>
        <w:bottom w:val="none" w:sz="0" w:space="0" w:color="auto"/>
        <w:right w:val="none" w:sz="0" w:space="0" w:color="auto"/>
      </w:divBdr>
    </w:div>
    <w:div w:id="1656953454">
      <w:bodyDiv w:val="1"/>
      <w:marLeft w:val="0"/>
      <w:marRight w:val="0"/>
      <w:marTop w:val="0"/>
      <w:marBottom w:val="0"/>
      <w:divBdr>
        <w:top w:val="none" w:sz="0" w:space="0" w:color="auto"/>
        <w:left w:val="none" w:sz="0" w:space="0" w:color="auto"/>
        <w:bottom w:val="none" w:sz="0" w:space="0" w:color="auto"/>
        <w:right w:val="none" w:sz="0" w:space="0" w:color="auto"/>
      </w:divBdr>
    </w:div>
    <w:div w:id="1659534729">
      <w:bodyDiv w:val="1"/>
      <w:marLeft w:val="0"/>
      <w:marRight w:val="0"/>
      <w:marTop w:val="0"/>
      <w:marBottom w:val="0"/>
      <w:divBdr>
        <w:top w:val="none" w:sz="0" w:space="0" w:color="auto"/>
        <w:left w:val="none" w:sz="0" w:space="0" w:color="auto"/>
        <w:bottom w:val="none" w:sz="0" w:space="0" w:color="auto"/>
        <w:right w:val="none" w:sz="0" w:space="0" w:color="auto"/>
      </w:divBdr>
    </w:div>
    <w:div w:id="1660108111">
      <w:bodyDiv w:val="1"/>
      <w:marLeft w:val="0"/>
      <w:marRight w:val="0"/>
      <w:marTop w:val="0"/>
      <w:marBottom w:val="0"/>
      <w:divBdr>
        <w:top w:val="none" w:sz="0" w:space="0" w:color="auto"/>
        <w:left w:val="none" w:sz="0" w:space="0" w:color="auto"/>
        <w:bottom w:val="none" w:sz="0" w:space="0" w:color="auto"/>
        <w:right w:val="none" w:sz="0" w:space="0" w:color="auto"/>
      </w:divBdr>
    </w:div>
    <w:div w:id="1666014083">
      <w:bodyDiv w:val="1"/>
      <w:marLeft w:val="0"/>
      <w:marRight w:val="0"/>
      <w:marTop w:val="0"/>
      <w:marBottom w:val="0"/>
      <w:divBdr>
        <w:top w:val="none" w:sz="0" w:space="0" w:color="auto"/>
        <w:left w:val="none" w:sz="0" w:space="0" w:color="auto"/>
        <w:bottom w:val="none" w:sz="0" w:space="0" w:color="auto"/>
        <w:right w:val="none" w:sz="0" w:space="0" w:color="auto"/>
      </w:divBdr>
    </w:div>
    <w:div w:id="1677997965">
      <w:bodyDiv w:val="1"/>
      <w:marLeft w:val="0"/>
      <w:marRight w:val="0"/>
      <w:marTop w:val="0"/>
      <w:marBottom w:val="0"/>
      <w:divBdr>
        <w:top w:val="none" w:sz="0" w:space="0" w:color="auto"/>
        <w:left w:val="none" w:sz="0" w:space="0" w:color="auto"/>
        <w:bottom w:val="none" w:sz="0" w:space="0" w:color="auto"/>
        <w:right w:val="none" w:sz="0" w:space="0" w:color="auto"/>
      </w:divBdr>
    </w:div>
    <w:div w:id="1681546720">
      <w:bodyDiv w:val="1"/>
      <w:marLeft w:val="0"/>
      <w:marRight w:val="0"/>
      <w:marTop w:val="0"/>
      <w:marBottom w:val="0"/>
      <w:divBdr>
        <w:top w:val="none" w:sz="0" w:space="0" w:color="auto"/>
        <w:left w:val="none" w:sz="0" w:space="0" w:color="auto"/>
        <w:bottom w:val="none" w:sz="0" w:space="0" w:color="auto"/>
        <w:right w:val="none" w:sz="0" w:space="0" w:color="auto"/>
      </w:divBdr>
    </w:div>
    <w:div w:id="1682509594">
      <w:bodyDiv w:val="1"/>
      <w:marLeft w:val="0"/>
      <w:marRight w:val="0"/>
      <w:marTop w:val="0"/>
      <w:marBottom w:val="0"/>
      <w:divBdr>
        <w:top w:val="none" w:sz="0" w:space="0" w:color="auto"/>
        <w:left w:val="none" w:sz="0" w:space="0" w:color="auto"/>
        <w:bottom w:val="none" w:sz="0" w:space="0" w:color="auto"/>
        <w:right w:val="none" w:sz="0" w:space="0" w:color="auto"/>
      </w:divBdr>
    </w:div>
    <w:div w:id="1698849082">
      <w:bodyDiv w:val="1"/>
      <w:marLeft w:val="0"/>
      <w:marRight w:val="0"/>
      <w:marTop w:val="0"/>
      <w:marBottom w:val="0"/>
      <w:divBdr>
        <w:top w:val="none" w:sz="0" w:space="0" w:color="auto"/>
        <w:left w:val="none" w:sz="0" w:space="0" w:color="auto"/>
        <w:bottom w:val="none" w:sz="0" w:space="0" w:color="auto"/>
        <w:right w:val="none" w:sz="0" w:space="0" w:color="auto"/>
      </w:divBdr>
    </w:div>
    <w:div w:id="1712149075">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27872885">
      <w:bodyDiv w:val="1"/>
      <w:marLeft w:val="0"/>
      <w:marRight w:val="0"/>
      <w:marTop w:val="0"/>
      <w:marBottom w:val="0"/>
      <w:divBdr>
        <w:top w:val="none" w:sz="0" w:space="0" w:color="auto"/>
        <w:left w:val="none" w:sz="0" w:space="0" w:color="auto"/>
        <w:bottom w:val="none" w:sz="0" w:space="0" w:color="auto"/>
        <w:right w:val="none" w:sz="0" w:space="0" w:color="auto"/>
      </w:divBdr>
    </w:div>
    <w:div w:id="1736783953">
      <w:bodyDiv w:val="1"/>
      <w:marLeft w:val="0"/>
      <w:marRight w:val="0"/>
      <w:marTop w:val="0"/>
      <w:marBottom w:val="0"/>
      <w:divBdr>
        <w:top w:val="none" w:sz="0" w:space="0" w:color="auto"/>
        <w:left w:val="none" w:sz="0" w:space="0" w:color="auto"/>
        <w:bottom w:val="none" w:sz="0" w:space="0" w:color="auto"/>
        <w:right w:val="none" w:sz="0" w:space="0" w:color="auto"/>
      </w:divBdr>
    </w:div>
    <w:div w:id="1768691369">
      <w:bodyDiv w:val="1"/>
      <w:marLeft w:val="0"/>
      <w:marRight w:val="0"/>
      <w:marTop w:val="0"/>
      <w:marBottom w:val="0"/>
      <w:divBdr>
        <w:top w:val="none" w:sz="0" w:space="0" w:color="auto"/>
        <w:left w:val="none" w:sz="0" w:space="0" w:color="auto"/>
        <w:bottom w:val="none" w:sz="0" w:space="0" w:color="auto"/>
        <w:right w:val="none" w:sz="0" w:space="0" w:color="auto"/>
      </w:divBdr>
    </w:div>
    <w:div w:id="1769538409">
      <w:bodyDiv w:val="1"/>
      <w:marLeft w:val="0"/>
      <w:marRight w:val="0"/>
      <w:marTop w:val="0"/>
      <w:marBottom w:val="0"/>
      <w:divBdr>
        <w:top w:val="none" w:sz="0" w:space="0" w:color="auto"/>
        <w:left w:val="none" w:sz="0" w:space="0" w:color="auto"/>
        <w:bottom w:val="none" w:sz="0" w:space="0" w:color="auto"/>
        <w:right w:val="none" w:sz="0" w:space="0" w:color="auto"/>
      </w:divBdr>
    </w:div>
    <w:div w:id="1778216847">
      <w:bodyDiv w:val="1"/>
      <w:marLeft w:val="0"/>
      <w:marRight w:val="0"/>
      <w:marTop w:val="0"/>
      <w:marBottom w:val="0"/>
      <w:divBdr>
        <w:top w:val="none" w:sz="0" w:space="0" w:color="auto"/>
        <w:left w:val="none" w:sz="0" w:space="0" w:color="auto"/>
        <w:bottom w:val="none" w:sz="0" w:space="0" w:color="auto"/>
        <w:right w:val="none" w:sz="0" w:space="0" w:color="auto"/>
      </w:divBdr>
    </w:div>
    <w:div w:id="1785685914">
      <w:bodyDiv w:val="1"/>
      <w:marLeft w:val="0"/>
      <w:marRight w:val="0"/>
      <w:marTop w:val="0"/>
      <w:marBottom w:val="0"/>
      <w:divBdr>
        <w:top w:val="none" w:sz="0" w:space="0" w:color="auto"/>
        <w:left w:val="none" w:sz="0" w:space="0" w:color="auto"/>
        <w:bottom w:val="none" w:sz="0" w:space="0" w:color="auto"/>
        <w:right w:val="none" w:sz="0" w:space="0" w:color="auto"/>
      </w:divBdr>
    </w:div>
    <w:div w:id="1787651769">
      <w:bodyDiv w:val="1"/>
      <w:marLeft w:val="0"/>
      <w:marRight w:val="0"/>
      <w:marTop w:val="0"/>
      <w:marBottom w:val="0"/>
      <w:divBdr>
        <w:top w:val="none" w:sz="0" w:space="0" w:color="auto"/>
        <w:left w:val="none" w:sz="0" w:space="0" w:color="auto"/>
        <w:bottom w:val="none" w:sz="0" w:space="0" w:color="auto"/>
        <w:right w:val="none" w:sz="0" w:space="0" w:color="auto"/>
      </w:divBdr>
    </w:div>
    <w:div w:id="1792161362">
      <w:bodyDiv w:val="1"/>
      <w:marLeft w:val="0"/>
      <w:marRight w:val="0"/>
      <w:marTop w:val="0"/>
      <w:marBottom w:val="0"/>
      <w:divBdr>
        <w:top w:val="none" w:sz="0" w:space="0" w:color="auto"/>
        <w:left w:val="none" w:sz="0" w:space="0" w:color="auto"/>
        <w:bottom w:val="none" w:sz="0" w:space="0" w:color="auto"/>
        <w:right w:val="none" w:sz="0" w:space="0" w:color="auto"/>
      </w:divBdr>
    </w:div>
    <w:div w:id="1797211433">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4516109">
      <w:bodyDiv w:val="1"/>
      <w:marLeft w:val="0"/>
      <w:marRight w:val="0"/>
      <w:marTop w:val="0"/>
      <w:marBottom w:val="0"/>
      <w:divBdr>
        <w:top w:val="none" w:sz="0" w:space="0" w:color="auto"/>
        <w:left w:val="none" w:sz="0" w:space="0" w:color="auto"/>
        <w:bottom w:val="none" w:sz="0" w:space="0" w:color="auto"/>
        <w:right w:val="none" w:sz="0" w:space="0" w:color="auto"/>
      </w:divBdr>
    </w:div>
    <w:div w:id="1817523712">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435677">
      <w:bodyDiv w:val="1"/>
      <w:marLeft w:val="0"/>
      <w:marRight w:val="0"/>
      <w:marTop w:val="0"/>
      <w:marBottom w:val="0"/>
      <w:divBdr>
        <w:top w:val="none" w:sz="0" w:space="0" w:color="auto"/>
        <w:left w:val="none" w:sz="0" w:space="0" w:color="auto"/>
        <w:bottom w:val="none" w:sz="0" w:space="0" w:color="auto"/>
        <w:right w:val="none" w:sz="0" w:space="0" w:color="auto"/>
      </w:divBdr>
    </w:div>
    <w:div w:id="1841774618">
      <w:bodyDiv w:val="1"/>
      <w:marLeft w:val="0"/>
      <w:marRight w:val="0"/>
      <w:marTop w:val="0"/>
      <w:marBottom w:val="0"/>
      <w:divBdr>
        <w:top w:val="none" w:sz="0" w:space="0" w:color="auto"/>
        <w:left w:val="none" w:sz="0" w:space="0" w:color="auto"/>
        <w:bottom w:val="none" w:sz="0" w:space="0" w:color="auto"/>
        <w:right w:val="none" w:sz="0" w:space="0" w:color="auto"/>
      </w:divBdr>
    </w:div>
    <w:div w:id="1844934669">
      <w:bodyDiv w:val="1"/>
      <w:marLeft w:val="0"/>
      <w:marRight w:val="0"/>
      <w:marTop w:val="0"/>
      <w:marBottom w:val="0"/>
      <w:divBdr>
        <w:top w:val="none" w:sz="0" w:space="0" w:color="auto"/>
        <w:left w:val="none" w:sz="0" w:space="0" w:color="auto"/>
        <w:bottom w:val="none" w:sz="0" w:space="0" w:color="auto"/>
        <w:right w:val="none" w:sz="0" w:space="0" w:color="auto"/>
      </w:divBdr>
    </w:div>
    <w:div w:id="1857040412">
      <w:bodyDiv w:val="1"/>
      <w:marLeft w:val="0"/>
      <w:marRight w:val="0"/>
      <w:marTop w:val="0"/>
      <w:marBottom w:val="0"/>
      <w:divBdr>
        <w:top w:val="none" w:sz="0" w:space="0" w:color="auto"/>
        <w:left w:val="none" w:sz="0" w:space="0" w:color="auto"/>
        <w:bottom w:val="none" w:sz="0" w:space="0" w:color="auto"/>
        <w:right w:val="none" w:sz="0" w:space="0" w:color="auto"/>
      </w:divBdr>
    </w:div>
    <w:div w:id="1860268840">
      <w:bodyDiv w:val="1"/>
      <w:marLeft w:val="0"/>
      <w:marRight w:val="0"/>
      <w:marTop w:val="0"/>
      <w:marBottom w:val="0"/>
      <w:divBdr>
        <w:top w:val="none" w:sz="0" w:space="0" w:color="auto"/>
        <w:left w:val="none" w:sz="0" w:space="0" w:color="auto"/>
        <w:bottom w:val="none" w:sz="0" w:space="0" w:color="auto"/>
        <w:right w:val="none" w:sz="0" w:space="0" w:color="auto"/>
      </w:divBdr>
    </w:div>
    <w:div w:id="1864631621">
      <w:bodyDiv w:val="1"/>
      <w:marLeft w:val="0"/>
      <w:marRight w:val="0"/>
      <w:marTop w:val="0"/>
      <w:marBottom w:val="0"/>
      <w:divBdr>
        <w:top w:val="none" w:sz="0" w:space="0" w:color="auto"/>
        <w:left w:val="none" w:sz="0" w:space="0" w:color="auto"/>
        <w:bottom w:val="none" w:sz="0" w:space="0" w:color="auto"/>
        <w:right w:val="none" w:sz="0" w:space="0" w:color="auto"/>
      </w:divBdr>
    </w:div>
    <w:div w:id="1875847824">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17277102">
      <w:bodyDiv w:val="1"/>
      <w:marLeft w:val="0"/>
      <w:marRight w:val="0"/>
      <w:marTop w:val="0"/>
      <w:marBottom w:val="0"/>
      <w:divBdr>
        <w:top w:val="none" w:sz="0" w:space="0" w:color="auto"/>
        <w:left w:val="none" w:sz="0" w:space="0" w:color="auto"/>
        <w:bottom w:val="none" w:sz="0" w:space="0" w:color="auto"/>
        <w:right w:val="none" w:sz="0" w:space="0" w:color="auto"/>
      </w:divBdr>
    </w:div>
    <w:div w:id="1935700484">
      <w:bodyDiv w:val="1"/>
      <w:marLeft w:val="0"/>
      <w:marRight w:val="0"/>
      <w:marTop w:val="0"/>
      <w:marBottom w:val="0"/>
      <w:divBdr>
        <w:top w:val="none" w:sz="0" w:space="0" w:color="auto"/>
        <w:left w:val="none" w:sz="0" w:space="0" w:color="auto"/>
        <w:bottom w:val="none" w:sz="0" w:space="0" w:color="auto"/>
        <w:right w:val="none" w:sz="0" w:space="0" w:color="auto"/>
      </w:divBdr>
    </w:div>
    <w:div w:id="1939212579">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57715277">
      <w:bodyDiv w:val="1"/>
      <w:marLeft w:val="0"/>
      <w:marRight w:val="0"/>
      <w:marTop w:val="0"/>
      <w:marBottom w:val="0"/>
      <w:divBdr>
        <w:top w:val="none" w:sz="0" w:space="0" w:color="auto"/>
        <w:left w:val="none" w:sz="0" w:space="0" w:color="auto"/>
        <w:bottom w:val="none" w:sz="0" w:space="0" w:color="auto"/>
        <w:right w:val="none" w:sz="0" w:space="0" w:color="auto"/>
      </w:divBdr>
    </w:div>
    <w:div w:id="1959868363">
      <w:bodyDiv w:val="1"/>
      <w:marLeft w:val="0"/>
      <w:marRight w:val="0"/>
      <w:marTop w:val="0"/>
      <w:marBottom w:val="0"/>
      <w:divBdr>
        <w:top w:val="none" w:sz="0" w:space="0" w:color="auto"/>
        <w:left w:val="none" w:sz="0" w:space="0" w:color="auto"/>
        <w:bottom w:val="none" w:sz="0" w:space="0" w:color="auto"/>
        <w:right w:val="none" w:sz="0" w:space="0" w:color="auto"/>
      </w:divBdr>
    </w:div>
    <w:div w:id="1977443212">
      <w:bodyDiv w:val="1"/>
      <w:marLeft w:val="0"/>
      <w:marRight w:val="0"/>
      <w:marTop w:val="0"/>
      <w:marBottom w:val="0"/>
      <w:divBdr>
        <w:top w:val="none" w:sz="0" w:space="0" w:color="auto"/>
        <w:left w:val="none" w:sz="0" w:space="0" w:color="auto"/>
        <w:bottom w:val="none" w:sz="0" w:space="0" w:color="auto"/>
        <w:right w:val="none" w:sz="0" w:space="0" w:color="auto"/>
      </w:divBdr>
    </w:div>
    <w:div w:id="1978798301">
      <w:bodyDiv w:val="1"/>
      <w:marLeft w:val="0"/>
      <w:marRight w:val="0"/>
      <w:marTop w:val="0"/>
      <w:marBottom w:val="0"/>
      <w:divBdr>
        <w:top w:val="none" w:sz="0" w:space="0" w:color="auto"/>
        <w:left w:val="none" w:sz="0" w:space="0" w:color="auto"/>
        <w:bottom w:val="none" w:sz="0" w:space="0" w:color="auto"/>
        <w:right w:val="none" w:sz="0" w:space="0" w:color="auto"/>
      </w:divBdr>
    </w:div>
    <w:div w:id="1981615439">
      <w:bodyDiv w:val="1"/>
      <w:marLeft w:val="0"/>
      <w:marRight w:val="0"/>
      <w:marTop w:val="0"/>
      <w:marBottom w:val="0"/>
      <w:divBdr>
        <w:top w:val="none" w:sz="0" w:space="0" w:color="auto"/>
        <w:left w:val="none" w:sz="0" w:space="0" w:color="auto"/>
        <w:bottom w:val="none" w:sz="0" w:space="0" w:color="auto"/>
        <w:right w:val="none" w:sz="0" w:space="0" w:color="auto"/>
      </w:divBdr>
    </w:div>
    <w:div w:id="1984312924">
      <w:bodyDiv w:val="1"/>
      <w:marLeft w:val="0"/>
      <w:marRight w:val="0"/>
      <w:marTop w:val="0"/>
      <w:marBottom w:val="0"/>
      <w:divBdr>
        <w:top w:val="none" w:sz="0" w:space="0" w:color="auto"/>
        <w:left w:val="none" w:sz="0" w:space="0" w:color="auto"/>
        <w:bottom w:val="none" w:sz="0" w:space="0" w:color="auto"/>
        <w:right w:val="none" w:sz="0" w:space="0" w:color="auto"/>
      </w:divBdr>
    </w:div>
    <w:div w:id="1985038656">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6356097">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00378038">
      <w:bodyDiv w:val="1"/>
      <w:marLeft w:val="0"/>
      <w:marRight w:val="0"/>
      <w:marTop w:val="0"/>
      <w:marBottom w:val="0"/>
      <w:divBdr>
        <w:top w:val="none" w:sz="0" w:space="0" w:color="auto"/>
        <w:left w:val="none" w:sz="0" w:space="0" w:color="auto"/>
        <w:bottom w:val="none" w:sz="0" w:space="0" w:color="auto"/>
        <w:right w:val="none" w:sz="0" w:space="0" w:color="auto"/>
      </w:divBdr>
    </w:div>
    <w:div w:id="2031293554">
      <w:bodyDiv w:val="1"/>
      <w:marLeft w:val="0"/>
      <w:marRight w:val="0"/>
      <w:marTop w:val="0"/>
      <w:marBottom w:val="0"/>
      <w:divBdr>
        <w:top w:val="none" w:sz="0" w:space="0" w:color="auto"/>
        <w:left w:val="none" w:sz="0" w:space="0" w:color="auto"/>
        <w:bottom w:val="none" w:sz="0" w:space="0" w:color="auto"/>
        <w:right w:val="none" w:sz="0" w:space="0" w:color="auto"/>
      </w:divBdr>
    </w:div>
    <w:div w:id="2037460591">
      <w:bodyDiv w:val="1"/>
      <w:marLeft w:val="0"/>
      <w:marRight w:val="0"/>
      <w:marTop w:val="0"/>
      <w:marBottom w:val="0"/>
      <w:divBdr>
        <w:top w:val="none" w:sz="0" w:space="0" w:color="auto"/>
        <w:left w:val="none" w:sz="0" w:space="0" w:color="auto"/>
        <w:bottom w:val="none" w:sz="0" w:space="0" w:color="auto"/>
        <w:right w:val="none" w:sz="0" w:space="0" w:color="auto"/>
      </w:divBdr>
    </w:div>
    <w:div w:id="2050063539">
      <w:bodyDiv w:val="1"/>
      <w:marLeft w:val="0"/>
      <w:marRight w:val="0"/>
      <w:marTop w:val="0"/>
      <w:marBottom w:val="0"/>
      <w:divBdr>
        <w:top w:val="none" w:sz="0" w:space="0" w:color="auto"/>
        <w:left w:val="none" w:sz="0" w:space="0" w:color="auto"/>
        <w:bottom w:val="none" w:sz="0" w:space="0" w:color="auto"/>
        <w:right w:val="none" w:sz="0" w:space="0" w:color="auto"/>
      </w:divBdr>
    </w:div>
    <w:div w:id="2060587554">
      <w:bodyDiv w:val="1"/>
      <w:marLeft w:val="0"/>
      <w:marRight w:val="0"/>
      <w:marTop w:val="0"/>
      <w:marBottom w:val="0"/>
      <w:divBdr>
        <w:top w:val="none" w:sz="0" w:space="0" w:color="auto"/>
        <w:left w:val="none" w:sz="0" w:space="0" w:color="auto"/>
        <w:bottom w:val="none" w:sz="0" w:space="0" w:color="auto"/>
        <w:right w:val="none" w:sz="0" w:space="0" w:color="auto"/>
      </w:divBdr>
    </w:div>
    <w:div w:id="2061782813">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096128284">
      <w:bodyDiv w:val="1"/>
      <w:marLeft w:val="0"/>
      <w:marRight w:val="0"/>
      <w:marTop w:val="0"/>
      <w:marBottom w:val="0"/>
      <w:divBdr>
        <w:top w:val="none" w:sz="0" w:space="0" w:color="auto"/>
        <w:left w:val="none" w:sz="0" w:space="0" w:color="auto"/>
        <w:bottom w:val="none" w:sz="0" w:space="0" w:color="auto"/>
        <w:right w:val="none" w:sz="0" w:space="0" w:color="auto"/>
      </w:divBdr>
    </w:div>
    <w:div w:id="2106149306">
      <w:bodyDiv w:val="1"/>
      <w:marLeft w:val="0"/>
      <w:marRight w:val="0"/>
      <w:marTop w:val="0"/>
      <w:marBottom w:val="0"/>
      <w:divBdr>
        <w:top w:val="none" w:sz="0" w:space="0" w:color="auto"/>
        <w:left w:val="none" w:sz="0" w:space="0" w:color="auto"/>
        <w:bottom w:val="none" w:sz="0" w:space="0" w:color="auto"/>
        <w:right w:val="none" w:sz="0" w:space="0" w:color="auto"/>
      </w:divBdr>
    </w:div>
    <w:div w:id="2115442348">
      <w:bodyDiv w:val="1"/>
      <w:marLeft w:val="0"/>
      <w:marRight w:val="0"/>
      <w:marTop w:val="0"/>
      <w:marBottom w:val="0"/>
      <w:divBdr>
        <w:top w:val="none" w:sz="0" w:space="0" w:color="auto"/>
        <w:left w:val="none" w:sz="0" w:space="0" w:color="auto"/>
        <w:bottom w:val="none" w:sz="0" w:space="0" w:color="auto"/>
        <w:right w:val="none" w:sz="0" w:space="0" w:color="auto"/>
      </w:divBdr>
    </w:div>
    <w:div w:id="211832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QsBHWWgD8QmHXUbkwmFlsEP2m1mSMpfFSGc5XhLqaho=</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avDhOILrC2FleSZmkRAuTkN6CaKuCNTWuiDBWDW6TVM=</DigestValue>
    </Reference>
  </SignedInfo>
  <SignatureValue>EiFrB9H9ebXjYNLJBRSZ90aeZPCuBpQM0WgQIYxxk2Vbz8Pnpf52/Y1iU/WHVyInwES76UAK72ni
NIYErLSEQCfP1JgTNyPSWtmxtGlmTu7oN1p3qXAtiCPew5W7cP+fcDW9xlVcYisunePksWyOrhQ/
MC/lc1J79jiiqtkmHU3LKrU/LKDs+qXQckBV9R75rTwHvBA1AqyR54FFp7KnDw20oNVn7WRfoge1
OQeAo8MQbJH79X7jWAhi2glCvOm8U7nO85vVJBv4pFyBcOX+gsDQCbQhXniViRPunC0cr0nnvXFj
imwyjxbVE3hqQi+LIgHKGVDuL8u6M6yUJa+n/w==</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FSxAOGIfoHYTjYT3opuajpZkxJnRk74KmsYsfFJxr1o=</DigestValue>
      </Reference>
      <Reference URI="/word/embeddings/Microsoft_Excel_Worksheet.xlsx?ContentType=application/vnd.openxmlformats-officedocument.spreadsheetml.sheet">
        <DigestMethod Algorithm="http://www.w3.org/2001/04/xmlenc#sha256"/>
        <DigestValue>ryGfAJLg45E2WY0UEDiKjHTrT2ma3uk49Urd8B0LuQo=</DigestValue>
      </Reference>
      <Reference URI="/word/endnotes.xml?ContentType=application/vnd.openxmlformats-officedocument.wordprocessingml.endnotes+xml">
        <DigestMethod Algorithm="http://www.w3.org/2001/04/xmlenc#sha256"/>
        <DigestValue>sgBY83JXZY5Cgt+JPRXdnojnsgOUw3rUm8yqByjMp9o=</DigestValue>
      </Reference>
      <Reference URI="/word/fontTable.xml?ContentType=application/vnd.openxmlformats-officedocument.wordprocessingml.fontTable+xml">
        <DigestMethod Algorithm="http://www.w3.org/2001/04/xmlenc#sha256"/>
        <DigestValue>vYrw1MwK6+rd++E7qOheLAQqRlVL6gQF/0fpsjYoB8Y=</DigestValue>
      </Reference>
      <Reference URI="/word/footer1.xml?ContentType=application/vnd.openxmlformats-officedocument.wordprocessingml.footer+xml">
        <DigestMethod Algorithm="http://www.w3.org/2001/04/xmlenc#sha256"/>
        <DigestValue>QoWCSNHvja9RoIBYBtLsiyO4ygzTUFAktRLrQDwhp0Y=</DigestValue>
      </Reference>
      <Reference URI="/word/footnotes.xml?ContentType=application/vnd.openxmlformats-officedocument.wordprocessingml.footnotes+xml">
        <DigestMethod Algorithm="http://www.w3.org/2001/04/xmlenc#sha256"/>
        <DigestValue>nDoFWA8C121T8R5sKP9QbGKei9IHBkwLkrNHyVRUOwc=</DigestValue>
      </Reference>
      <Reference URI="/word/header1.xml?ContentType=application/vnd.openxmlformats-officedocument.wordprocessingml.header+xml">
        <DigestMethod Algorithm="http://www.w3.org/2001/04/xmlenc#sha256"/>
        <DigestValue>yNzOq/VnzjDBHLUGLe5atfzrak2KWNgT+UZkz6HQfZY=</DigestValue>
      </Reference>
      <Reference URI="/word/header2.xml?ContentType=application/vnd.openxmlformats-officedocument.wordprocessingml.header+xml">
        <DigestMethod Algorithm="http://www.w3.org/2001/04/xmlenc#sha256"/>
        <DigestValue>3APyCebax8El5Uz+9P/Y96t3NHKIJMqtJi2hZnWaNZQ=</DigestValue>
      </Reference>
      <Reference URI="/word/header3.xml?ContentType=application/vnd.openxmlformats-officedocument.wordprocessingml.header+xml">
        <DigestMethod Algorithm="http://www.w3.org/2001/04/xmlenc#sha256"/>
        <DigestValue>31roTZW2Jov+J74warCChHXSgNmXJoeYQlpqU31D734=</DigestValue>
      </Reference>
      <Reference URI="/word/media/image1.emf?ContentType=image/x-emf">
        <DigestMethod Algorithm="http://www.w3.org/2001/04/xmlenc#sha256"/>
        <DigestValue>9Oc9JPvS5TQFHSHyYbIwEhFvSSnZ+TnQpRY+hlwlUdk=</DigestValue>
      </Reference>
      <Reference URI="/word/numbering.xml?ContentType=application/vnd.openxmlformats-officedocument.wordprocessingml.numbering+xml">
        <DigestMethod Algorithm="http://www.w3.org/2001/04/xmlenc#sha256"/>
        <DigestValue>xNRe2VBDzeyPaR+wT3yF7lastZfqwT9V+ypG1nVIMkI=</DigestValue>
      </Reference>
      <Reference URI="/word/settings.xml?ContentType=application/vnd.openxmlformats-officedocument.wordprocessingml.settings+xml">
        <DigestMethod Algorithm="http://www.w3.org/2001/04/xmlenc#sha256"/>
        <DigestValue>4FOPLQKdTD3zafGk5QrTK4wIiV4SIdzfaAOD3Y8o6PU=</DigestValue>
      </Reference>
      <Reference URI="/word/styles.xml?ContentType=application/vnd.openxmlformats-officedocument.wordprocessingml.styles+xml">
        <DigestMethod Algorithm="http://www.w3.org/2001/04/xmlenc#sha256"/>
        <DigestValue>5O3baooCVDx9fp/tybI+zE/qmzruHSh4ONRMnGNlRA4=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VxUX7jNBi7VZxAXUFin+HNhSywsyhe4ymzDTxI8ytHc=</DigestValue>
      </Reference>
    </Manifest>
    <SignatureProperties>
      <SignatureProperty Id="idSignatureTime" Target="#idPackageSignature">
        <mdssi:SignatureTime xmlns:mdssi="http://schemas.openxmlformats.org/package/2006/digital-signature">
          <mdssi:Format>YYYY-MM-DDThh:mm:ssTZD</mdssi:Format>
          <mdssi:Value>2025-01-16T02:59:45Z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2025-01-16T02:59:45Z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k1CRtzpFR4zGMOw2Klc2e7ozqITdmOvQn5ItwTY2Lw0=</DigestValue>
    </Reference>
    <Reference Type="http://www.w3.org/2000/09/xmldsig#Object" URI="#idOfficeObject">
      <DigestMethod Algorithm="http://www.w3.org/2001/04/xmlenc#sha256"/>
      <DigestValue>QRfWJoJGDV5X+A768ASe+eXVwLGRT00hK49PqC27C8g=</DigestValue>
    </Reference>
    <Reference Type="http://uri.etsi.org/01903#SignedProperties" URI="#idSignedProperties">
      <Transforms>
        <Transform Algorithm="http://www.w3.org/TR/2001/REC-xml-c14n-20010315"/>
      </Transforms>
      <DigestMethod Algorithm="http://www.w3.org/2001/04/xmlenc#sha256"/>
      <DigestValue>U7fOVRKjLqr3H5LG6KBfbZUO+S22QrDluhgSYFnjo5g=</DigestValue>
    </Reference>
  </SignedInfo>
  <SignatureValue>FQS7W1ljdhENHiiapsy4+REDDoy2tZte6lKZhGVHCOhyScp4X//VqZtPBpNFJOLmoOQP+A0jVM4Y
pI8NcMwORNO/8lpClNZTQkMXMryyRnMoX38pxt1FIx5cLzosw1TFNrDmzb0cZxYwzb7b8ROuS1ZM
w2IkwKcKRQdCgXMHuym92I3OKa01Lykk7ib/W5ujpZusx85G4Yy11xVMCnisEszN1ojjFQ6MMgIJ
IVABXv5Qup4yT1WVRafXRiQGuvhb4P1FSxVMM1CVpXiQAKyEUPrcznJF8ge/70ErJqKLK+cgY0hw
KguhJl08RnpZmle93X8sr014gxolAWZOTPmUQA==</SignatureValue>
  <KeyInfo>
    <X509Data>
      <X509Certificate>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FSxAOGIfoHYTjYT3opuajpZkxJnRk74KmsYsfFJxr1o=</DigestValue>
      </Reference>
      <Reference URI="/word/embeddings/Microsoft_Excel_Worksheet.xlsx?ContentType=application/vnd.openxmlformats-officedocument.spreadsheetml.sheet">
        <DigestMethod Algorithm="http://www.w3.org/2001/04/xmlenc#sha256"/>
        <DigestValue>ryGfAJLg45E2WY0UEDiKjHTrT2ma3uk49Urd8B0LuQo=</DigestValue>
      </Reference>
      <Reference URI="/word/endnotes.xml?ContentType=application/vnd.openxmlformats-officedocument.wordprocessingml.endnotes+xml">
        <DigestMethod Algorithm="http://www.w3.org/2001/04/xmlenc#sha256"/>
        <DigestValue>sgBY83JXZY5Cgt+JPRXdnojnsgOUw3rUm8yqByjMp9o=</DigestValue>
      </Reference>
      <Reference URI="/word/fontTable.xml?ContentType=application/vnd.openxmlformats-officedocument.wordprocessingml.fontTable+xml">
        <DigestMethod Algorithm="http://www.w3.org/2001/04/xmlenc#sha256"/>
        <DigestValue>vYrw1MwK6+rd++E7qOheLAQqRlVL6gQF/0fpsjYoB8Y=</DigestValue>
      </Reference>
      <Reference URI="/word/footer1.xml?ContentType=application/vnd.openxmlformats-officedocument.wordprocessingml.footer+xml">
        <DigestMethod Algorithm="http://www.w3.org/2001/04/xmlenc#sha256"/>
        <DigestValue>QoWCSNHvja9RoIBYBtLsiyO4ygzTUFAktRLrQDwhp0Y=</DigestValue>
      </Reference>
      <Reference URI="/word/footnotes.xml?ContentType=application/vnd.openxmlformats-officedocument.wordprocessingml.footnotes+xml">
        <DigestMethod Algorithm="http://www.w3.org/2001/04/xmlenc#sha256"/>
        <DigestValue>nDoFWA8C121T8R5sKP9QbGKei9IHBkwLkrNHyVRUOwc=</DigestValue>
      </Reference>
      <Reference URI="/word/header1.xml?ContentType=application/vnd.openxmlformats-officedocument.wordprocessingml.header+xml">
        <DigestMethod Algorithm="http://www.w3.org/2001/04/xmlenc#sha256"/>
        <DigestValue>yNzOq/VnzjDBHLUGLe5atfzrak2KWNgT+UZkz6HQfZY=</DigestValue>
      </Reference>
      <Reference URI="/word/header2.xml?ContentType=application/vnd.openxmlformats-officedocument.wordprocessingml.header+xml">
        <DigestMethod Algorithm="http://www.w3.org/2001/04/xmlenc#sha256"/>
        <DigestValue>3APyCebax8El5Uz+9P/Y96t3NHKIJMqtJi2hZnWaNZQ=</DigestValue>
      </Reference>
      <Reference URI="/word/header3.xml?ContentType=application/vnd.openxmlformats-officedocument.wordprocessingml.header+xml">
        <DigestMethod Algorithm="http://www.w3.org/2001/04/xmlenc#sha256"/>
        <DigestValue>31roTZW2Jov+J74warCChHXSgNmXJoeYQlpqU31D734=</DigestValue>
      </Reference>
      <Reference URI="/word/media/image1.emf?ContentType=image/x-emf">
        <DigestMethod Algorithm="http://www.w3.org/2001/04/xmlenc#sha256"/>
        <DigestValue>9Oc9JPvS5TQFHSHyYbIwEhFvSSnZ+TnQpRY+hlwlUdk=</DigestValue>
      </Reference>
      <Reference URI="/word/numbering.xml?ContentType=application/vnd.openxmlformats-officedocument.wordprocessingml.numbering+xml">
        <DigestMethod Algorithm="http://www.w3.org/2001/04/xmlenc#sha256"/>
        <DigestValue>xNRe2VBDzeyPaR+wT3yF7lastZfqwT9V+ypG1nVIMkI=</DigestValue>
      </Reference>
      <Reference URI="/word/settings.xml?ContentType=application/vnd.openxmlformats-officedocument.wordprocessingml.settings+xml">
        <DigestMethod Algorithm="http://www.w3.org/2001/04/xmlenc#sha256"/>
        <DigestValue>4FOPLQKdTD3zafGk5QrTK4wIiV4SIdzfaAOD3Y8o6PU=</DigestValue>
      </Reference>
      <Reference URI="/word/styles.xml?ContentType=application/vnd.openxmlformats-officedocument.wordprocessingml.styles+xml">
        <DigestMethod Algorithm="http://www.w3.org/2001/04/xmlenc#sha256"/>
        <DigestValue>5O3baooCVDx9fp/tybI+zE/qmzruHSh4ONRMnGNlRA4=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VxUX7jNBi7VZxAXUFin+HNhSywsyhe4ymzDTxI8ytHc=</DigestValue>
      </Reference>
    </Manifest>
    <SignatureProperties>
      <SignatureProperty Id="idSignatureTime" Target="#idPackageSignature">
        <mdssi:SignatureTime xmlns:mdssi="http://schemas.openxmlformats.org/package/2006/digital-signature">
          <mdssi:Format>YYYY-MM-DDThh:mm:ssTZD</mdssi:Format>
          <mdssi:Value>2025-01-20T10:03:33Z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16.0.18227/26</OfficeVersion>
          <ApplicationVersion>16.0.18227</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2025-01-20T10:03:33Z</xd:SigningTime>
          <xd:SigningCertificate>
            <xd:Cert>
              <xd:CertDigest>
                <DigestMethod Algorithm="http://www.w3.org/2001/04/xmlenc#sha256"/>
                <DigestValue>+6Q9qoAV7Vy+bgRPNobK9IVBog5M9Y9Mp6bLI5UTDfI=</DigestValue>
              </xd:CertDigest>
              <xd:IssuerSerial>
                <X509IssuerName>CN=VNPT-CA SHA-256, O=VIETNAM POSTS AND TELECOMMUNICATIONS GROUP, C=VN</X509IssuerName>
                <X509SerialNumber>111660364320595540542297849247985421355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8B6A868401FF1499F0943CD94224969" ma:contentTypeVersion="13" ma:contentTypeDescription="Create a new document." ma:contentTypeScope="" ma:versionID="f2e0fc4cef04b426d92a312df90624b9">
  <xsd:schema xmlns:xsd="http://www.w3.org/2001/XMLSchema" xmlns:xs="http://www.w3.org/2001/XMLSchema" xmlns:p="http://schemas.microsoft.com/office/2006/metadata/properties" xmlns:ns2="886dbac4-352f-499f-9a13-fd33a813a50f" xmlns:ns3="1929ab22-5c80-4f5c-8670-662749c73523" targetNamespace="http://schemas.microsoft.com/office/2006/metadata/properties" ma:root="true" ma:fieldsID="b9b4e5623cb25153f1e04273ef21da80" ns2:_="" ns3:_="">
    <xsd:import namespace="886dbac4-352f-499f-9a13-fd33a813a50f"/>
    <xsd:import namespace="1929ab22-5c80-4f5c-8670-662749c735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6dbac4-352f-499f-9a13-fd33a813a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5eb7f8f-ddaa-461d-a7a8-57b9677e73e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29ab22-5c80-4f5c-8670-662749c7352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060730e-4910-4855-b210-987634685ecb}" ma:internalName="TaxCatchAll" ma:showField="CatchAllData" ma:web="1929ab22-5c80-4f5c-8670-662749c735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929ab22-5c80-4f5c-8670-662749c73523" xsi:nil="true"/>
    <lcf76f155ced4ddcb4097134ff3c332f xmlns="886dbac4-352f-499f-9a13-fd33a813a5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991A21-AC77-453E-9E1B-E72D85D1B0EF}">
  <ds:schemaRefs>
    <ds:schemaRef ds:uri="http://schemas.openxmlformats.org/officeDocument/2006/bibliography"/>
  </ds:schemaRefs>
</ds:datastoreItem>
</file>

<file path=customXml/itemProps2.xml><?xml version="1.0" encoding="utf-8"?>
<ds:datastoreItem xmlns:ds="http://schemas.openxmlformats.org/officeDocument/2006/customXml" ds:itemID="{F76443F0-53CC-4764-AAF4-C9ACD302A550}"/>
</file>

<file path=customXml/itemProps3.xml><?xml version="1.0" encoding="utf-8"?>
<ds:datastoreItem xmlns:ds="http://schemas.openxmlformats.org/officeDocument/2006/customXml" ds:itemID="{972AEDC3-D628-4AFA-9E52-3ADAC5D916E1}"/>
</file>

<file path=customXml/itemProps4.xml><?xml version="1.0" encoding="utf-8"?>
<ds:datastoreItem xmlns:ds="http://schemas.openxmlformats.org/officeDocument/2006/customXml" ds:itemID="{78E3E2EE-0ADB-4AFB-B192-B92CA864C63B}"/>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12</Pages>
  <Words>4753</Words>
  <Characters>27096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Van</dc:creator>
  <cp:keywords>Public</cp:keywords>
  <cp:lastModifiedBy>Nguyen Huong, Tra</cp:lastModifiedBy>
  <cp:revision>13</cp:revision>
  <cp:lastPrinted>2019-04-12T01:44:00Z</cp:lastPrinted>
  <dcterms:created xsi:type="dcterms:W3CDTF">2024-02-26T04:55:00Z</dcterms:created>
  <dcterms:modified xsi:type="dcterms:W3CDTF">2025-01-15T11:39:00Z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6480188e-9945-4263-a346-40c6fec51509</vt:lpwstr>
  </property>
  <property fmtid="{D5CDD505-2E9C-101B-9397-08002B2CF9AE}" pid="3" name="db.comClassification">
    <vt:lpwstr>Public</vt:lpwstr>
  </property>
  <property fmtid="{D5CDD505-2E9C-101B-9397-08002B2CF9AE}" pid="4" name="MSIP_Label_2f09969a-9765-43e8-aabe-35947983a60f_Enabled">
    <vt:lpwstr>true</vt:lpwstr>
  </property>
  <property fmtid="{D5CDD505-2E9C-101B-9397-08002B2CF9AE}" pid="5" name="MSIP_Label_2f09969a-9765-43e8-aabe-35947983a60f_SetDate">
    <vt:lpwstr>2023-01-03T12:12:16Z</vt:lpwstr>
  </property>
  <property fmtid="{D5CDD505-2E9C-101B-9397-08002B2CF9AE}" pid="6" name="MSIP_Label_2f09969a-9765-43e8-aabe-35947983a60f_Method">
    <vt:lpwstr>Privileged</vt:lpwstr>
  </property>
  <property fmtid="{D5CDD505-2E9C-101B-9397-08002B2CF9AE}" pid="7" name="MSIP_Label_2f09969a-9765-43e8-aabe-35947983a60f_Name">
    <vt:lpwstr>2f09969a-9765-43e8-aabe-35947983a60f</vt:lpwstr>
  </property>
  <property fmtid="{D5CDD505-2E9C-101B-9397-08002B2CF9AE}" pid="8" name="MSIP_Label_2f09969a-9765-43e8-aabe-35947983a60f_SiteId">
    <vt:lpwstr>7e112add-47bf-483a-a662-d391f21af9f0</vt:lpwstr>
  </property>
  <property fmtid="{D5CDD505-2E9C-101B-9397-08002B2CF9AE}" pid="9" name="MSIP_Label_2f09969a-9765-43e8-aabe-35947983a60f_ActionId">
    <vt:lpwstr>dc0d81a4-7eed-4b39-ac15-4f742b5719f2</vt:lpwstr>
  </property>
  <property fmtid="{D5CDD505-2E9C-101B-9397-08002B2CF9AE}" pid="10" name="MSIP_Label_2f09969a-9765-43e8-aabe-35947983a60f_ContentBits">
    <vt:lpwstr>2</vt:lpwstr>
  </property>
  <property fmtid="{D5CDD505-2E9C-101B-9397-08002B2CF9AE}" pid="11" name="MSIP_Label_76274c26-8161-4bde-aa07-b2b522e14278_Enabled">
    <vt:lpwstr>true</vt:lpwstr>
  </property>
  <property fmtid="{D5CDD505-2E9C-101B-9397-08002B2CF9AE}" pid="12" name="MSIP_Label_76274c26-8161-4bde-aa07-b2b522e14278_SetDate">
    <vt:lpwstr>2024-04-09T15:49:36Z</vt:lpwstr>
  </property>
  <property fmtid="{D5CDD505-2E9C-101B-9397-08002B2CF9AE}" pid="13" name="MSIP_Label_76274c26-8161-4bde-aa07-b2b522e14278_Method">
    <vt:lpwstr>Privileged</vt:lpwstr>
  </property>
  <property fmtid="{D5CDD505-2E9C-101B-9397-08002B2CF9AE}" pid="14" name="MSIP_Label_76274c26-8161-4bde-aa07-b2b522e14278_Name">
    <vt:lpwstr>Label Only</vt:lpwstr>
  </property>
  <property fmtid="{D5CDD505-2E9C-101B-9397-08002B2CF9AE}" pid="15" name="MSIP_Label_76274c26-8161-4bde-aa07-b2b522e14278_SiteId">
    <vt:lpwstr>b44900f1-2def-4c3b-9ec6-9020d604e19e</vt:lpwstr>
  </property>
  <property fmtid="{D5CDD505-2E9C-101B-9397-08002B2CF9AE}" pid="16" name="MSIP_Label_76274c26-8161-4bde-aa07-b2b522e14278_ActionId">
    <vt:lpwstr>1148256c-86f2-4712-8cc3-5a3f24dca9c9</vt:lpwstr>
  </property>
  <property fmtid="{D5CDD505-2E9C-101B-9397-08002B2CF9AE}" pid="17" name="MSIP_Label_76274c26-8161-4bde-aa07-b2b522e14278_ContentBits">
    <vt:lpwstr>1</vt:lpwstr>
  </property>
  <property fmtid="{D5CDD505-2E9C-101B-9397-08002B2CF9AE}" pid="18" name="ClassificationContentMarkingHeaderShapeIds">
    <vt:lpwstr>2,3,4</vt:lpwstr>
  </property>
  <property fmtid="{D5CDD505-2E9C-101B-9397-08002B2CF9AE}" pid="19" name="ClassificationContentMarkingHeaderFontProps">
    <vt:lpwstr>#317100,9,Arial</vt:lpwstr>
  </property>
  <property fmtid="{D5CDD505-2E9C-101B-9397-08002B2CF9AE}" pid="20" name="ClassificationContentMarkingHeaderText">
    <vt:lpwstr>PUBLIC</vt:lpwstr>
  </property>
  <property fmtid="{D5CDD505-2E9C-101B-9397-08002B2CF9AE}" pid="21" name="ContentTypeId">
    <vt:lpwstr>0x010100F8B6A868401FF1499F0943CD94224969</vt:lpwstr>
  </property>
  <property fmtid="{D5CDD505-2E9C-101B-9397-08002B2CF9AE}" pid="22" name="MediaServiceImageTags">
    <vt:lpwstr/>
  </property>
</Properties>
</file>